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2年余杭区重大基础设施建设任务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lang w:val="en-US" w:eastAsia="zh-CN"/>
              </w:rPr>
              <w:t>20</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w:t>
            </w:r>
            <w:r>
              <w:rPr>
                <w:rFonts w:hint="eastAsia" w:ascii="仿宋" w:hAnsi="仿宋" w:eastAsia="仿宋" w:cs="仿宋"/>
                <w:color w:val="000000" w:themeColor="text1"/>
                <w:spacing w:val="-10"/>
                <w:sz w:val="24"/>
                <w:szCs w:val="24"/>
              </w:rPr>
              <w:t>前</w:t>
            </w:r>
            <w:r>
              <w:rPr>
                <w:rFonts w:hint="eastAsia" w:ascii="仿宋" w:hAnsi="仿宋" w:eastAsia="仿宋" w:cs="仿宋"/>
                <w:color w:val="000000" w:themeColor="text1"/>
                <w:spacing w:val="-10"/>
                <w:sz w:val="24"/>
                <w:szCs w:val="24"/>
                <w:lang w:val="en-US" w:eastAsia="zh-CN"/>
              </w:rPr>
              <w:t>建成的市政道路（含排水、桥梁、隧道）项目</w:t>
            </w:r>
            <w:r>
              <w:rPr>
                <w:rFonts w:hint="eastAsia" w:ascii="仿宋" w:hAnsi="仿宋" w:eastAsia="仿宋" w:cs="仿宋"/>
                <w:color w:val="000000" w:themeColor="text1"/>
                <w:spacing w:val="-10"/>
                <w:sz w:val="24"/>
                <w:szCs w:val="24"/>
                <w:lang w:eastAsia="zh-CN"/>
              </w:rPr>
              <w:t>完成</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w:t>
            </w: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rPr>
              <w:t>2</w:t>
            </w:r>
            <w:r>
              <w:rPr>
                <w:rFonts w:hint="eastAsia" w:ascii="仿宋" w:hAnsi="仿宋" w:eastAsia="仿宋" w:cs="仿宋"/>
                <w:color w:val="000000" w:themeColor="text1"/>
                <w:spacing w:val="-10"/>
                <w:sz w:val="24"/>
                <w:szCs w:val="24"/>
                <w:lang w:val="en-US" w:eastAsia="zh-CN"/>
              </w:rPr>
              <w:t>1</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底前建成的</w:t>
            </w:r>
            <w:r>
              <w:rPr>
                <w:rFonts w:hint="eastAsia" w:ascii="仿宋" w:hAnsi="仿宋" w:eastAsia="仿宋" w:cs="仿宋"/>
                <w:color w:val="000000" w:themeColor="text1"/>
                <w:spacing w:val="-10"/>
                <w:sz w:val="24"/>
                <w:szCs w:val="24"/>
              </w:rPr>
              <w:t>项目完成</w:t>
            </w:r>
            <w:r>
              <w:rPr>
                <w:rFonts w:hint="eastAsia" w:ascii="仿宋" w:hAnsi="仿宋" w:eastAsia="仿宋" w:cs="仿宋"/>
                <w:color w:val="000000" w:themeColor="text1"/>
                <w:spacing w:val="-10"/>
                <w:sz w:val="24"/>
                <w:szCs w:val="24"/>
                <w:lang w:val="en-US" w:eastAsia="zh-CN"/>
              </w:rPr>
              <w:t>子项总量</w:t>
            </w:r>
            <w:r>
              <w:rPr>
                <w:rFonts w:ascii="仿宋" w:hAnsi="仿宋" w:eastAsia="仿宋" w:cs="仿宋"/>
                <w:color w:val="000000" w:themeColor="text1"/>
                <w:spacing w:val="-10"/>
                <w:sz w:val="24"/>
                <w:szCs w:val="24"/>
              </w:rPr>
              <w:t>80%</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rPr>
      </w:pPr>
    </w:p>
    <w:p>
      <w:pPr>
        <w:jc w:val="center"/>
        <w:rPr>
          <w:rFonts w:ascii="黑体" w:hAnsi="黑体" w:eastAsia="黑体" w:cs="Times New Roman"/>
          <w:color w:val="000000" w:themeColor="text1"/>
          <w:sz w:val="44"/>
          <w:szCs w:val="44"/>
        </w:rPr>
      </w:pPr>
      <w:r>
        <w:rPr>
          <w:rFonts w:ascii="黑体" w:hAnsi="黑体" w:eastAsia="黑体" w:cs="黑体"/>
          <w:color w:val="000000" w:themeColor="text1"/>
          <w:sz w:val="44"/>
          <w:szCs w:val="44"/>
        </w:rPr>
        <w:t>202</w:t>
      </w:r>
      <w:r>
        <w:rPr>
          <w:rFonts w:hint="eastAsia" w:ascii="黑体" w:hAnsi="黑体" w:eastAsia="黑体" w:cs="黑体"/>
          <w:color w:val="000000" w:themeColor="text1"/>
          <w:sz w:val="44"/>
          <w:szCs w:val="44"/>
        </w:rPr>
        <w:t>2年余杭区重大基础设施建设任务</w:t>
      </w:r>
    </w:p>
    <w:p>
      <w:pPr>
        <w:jc w:val="center"/>
        <w:rPr>
          <w:rFonts w:ascii="黑体" w:hAnsi="黑体" w:eastAsia="黑体" w:cs="Times New Roman"/>
          <w:color w:val="000000" w:themeColor="text1"/>
          <w:sz w:val="44"/>
          <w:szCs w:val="44"/>
        </w:rPr>
      </w:pPr>
      <w:r>
        <w:rPr>
          <w:rFonts w:hint="eastAsia" w:ascii="黑体" w:hAnsi="黑体" w:eastAsia="黑体" w:cs="黑体"/>
          <w:color w:val="000000" w:themeColor="text1"/>
          <w:sz w:val="44"/>
          <w:szCs w:val="44"/>
        </w:rPr>
        <w:t>个性目标</w:t>
      </w:r>
    </w:p>
    <w:tbl>
      <w:tblPr>
        <w:tblStyle w:val="6"/>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lang w:val="en"/>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城市道路及城镇污水处理设施建设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（一）</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快速路建设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完工项目：6月底前全面建成并开通文一西路（荆长大道-东西大道）工程，全年完成投资15亿元。</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exac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续建项目：6月底前恢复余杭区东西向快速通道下穿杭徽高速段工程02省道路口及以北段地面道路，12月底完成主体工程，全年完成投资1亿元。</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续建项目：文一西路西延一期工程，隧道围护结构完成40%，全年完成投资4亿元。</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exac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开工项目：文一西路西延二期工程。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exac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前期项目：文一西路西延三期工程。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（二）</w:t>
            </w:r>
          </w:p>
        </w:tc>
        <w:tc>
          <w:tcPr>
            <w:tcW w:w="5917"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地铁重建道路建设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建成并开通：杭行路（余杭区界-勾良路）、良运街、杭行路（祥运路-郁宅港路）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建成并开通：景腾路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建成并开通：港虹西路、逸盛路、五常大道、联胜路、丰岭路、高教路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（三）</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“断头路”三年行动计划</w:t>
            </w:r>
          </w:p>
        </w:tc>
        <w:tc>
          <w:tcPr>
            <w:tcW w:w="1200" w:type="dxa"/>
            <w:vAlign w:val="center"/>
          </w:tcPr>
          <w:p>
            <w:pPr>
              <w:jc w:val="center"/>
              <w:rPr>
                <w:rFonts w:ascii="仿宋" w:hAnsi="仿宋" w:eastAsia="仿宋" w:cs="仿宋"/>
                <w:b/>
                <w:bCs/>
                <w:color w:val="000000" w:themeColor="text1"/>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建成并开通：白池路（玉鸟路-古墩路）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开工：凤新区块横一路（凤新南路东段）（科技大道-纵二路）、凤新区块纵二路（凤南路）（城南路-凤新路）</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勾阳路（良运街-通运路）、大洋坝路（勾阳路）（通运路-上城区界）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（四）</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主次干路</w:t>
            </w:r>
          </w:p>
        </w:tc>
        <w:tc>
          <w:tcPr>
            <w:tcW w:w="1200" w:type="dxa"/>
            <w:vAlign w:val="center"/>
          </w:tcPr>
          <w:p>
            <w:pPr>
              <w:jc w:val="center"/>
              <w:rPr>
                <w:rFonts w:ascii="仿宋" w:hAnsi="仿宋" w:eastAsia="仿宋" w:cs="仿宋"/>
                <w:b/>
                <w:bCs/>
                <w:color w:val="000000" w:themeColor="text1"/>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绿汀路（文二西路-良睦路）、常余路（良睦路-荆长大道）、棕榈路西延（古墩路-天阳学校）、西塘路（良运街-通运路）、杭行路北延及综合管廊工程一期（博园路-勾良路）、良渚遗址申遗—福院安置区块配套道路（蒿山路）（创业路-凤都路）、良渚遗址申遗—福院安置区块配套道路（凤都路一）（前程路-蒿山路）、良睦路提升工程（02省道-泰闲路以南）、泰闲路（规划道路-良睦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续建：新甫路道路工程（良祥路-章德路）、金昌路（莫干山路-勾阳路）、良运街（通益路-规划七路）、仁康路（奉欣路-和平路）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hint="eastAsia" w:ascii="仿宋" w:hAnsi="仿宋" w:eastAsia="仿宋" w:cs="仿宋"/>
                <w:spacing w:val="-10"/>
                <w:sz w:val="24"/>
                <w:szCs w:val="24"/>
                <w:lang w:eastAsia="zh-CN"/>
              </w:rPr>
            </w:pPr>
            <w:r>
              <w:rPr>
                <w:rFonts w:hint="eastAsia" w:ascii="仿宋" w:hAnsi="仿宋" w:eastAsia="仿宋" w:cs="仿宋"/>
                <w:spacing w:val="-10"/>
                <w:sz w:val="24"/>
                <w:szCs w:val="24"/>
              </w:rPr>
              <w:t>开工：良睦路南延隧道（泰闲路以南-留和路）</w:t>
            </w:r>
            <w:r>
              <w:rPr>
                <w:rFonts w:hint="eastAsia" w:ascii="仿宋" w:hAnsi="仿宋" w:eastAsia="仿宋" w:cs="仿宋"/>
                <w:spacing w:val="-10"/>
                <w:sz w:val="24"/>
                <w:szCs w:val="24"/>
                <w:lang w:eastAsia="zh-CN"/>
              </w:rPr>
              <w:t>、良睦路北延（余杭塘路</w:t>
            </w:r>
            <w:r>
              <w:rPr>
                <w:rFonts w:hint="eastAsia" w:ascii="仿宋" w:hAnsi="仿宋" w:eastAsia="仿宋" w:cs="仿宋"/>
                <w:spacing w:val="-10"/>
                <w:sz w:val="24"/>
                <w:szCs w:val="24"/>
                <w:lang w:val="en-US" w:eastAsia="zh-CN"/>
              </w:rPr>
              <w:t>-</w:t>
            </w:r>
            <w:r>
              <w:rPr>
                <w:rFonts w:hint="eastAsia" w:ascii="仿宋" w:hAnsi="仿宋" w:eastAsia="仿宋" w:cs="仿宋"/>
                <w:spacing w:val="-10"/>
                <w:sz w:val="24"/>
                <w:szCs w:val="24"/>
                <w:lang w:eastAsia="zh-CN"/>
              </w:rPr>
              <w:t>东西大道）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bookmarkStart w:id="0" w:name="_GoBack"/>
            <w:bookmarkEnd w:id="0"/>
            <w:r>
              <w:rPr>
                <w:rFonts w:hint="eastAsia" w:ascii="仿宋" w:hAnsi="仿宋" w:eastAsia="仿宋" w:cs="仿宋"/>
                <w:b/>
                <w:bCs/>
                <w:color w:val="000000" w:themeColor="text1"/>
                <w:spacing w:val="-10"/>
                <w:position w:val="6"/>
                <w:sz w:val="24"/>
                <w:szCs w:val="24"/>
              </w:rPr>
              <w:t>（五）</w:t>
            </w:r>
          </w:p>
        </w:tc>
        <w:tc>
          <w:tcPr>
            <w:tcW w:w="5917"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支路</w:t>
            </w:r>
          </w:p>
        </w:tc>
        <w:tc>
          <w:tcPr>
            <w:tcW w:w="1200" w:type="dxa"/>
            <w:vAlign w:val="center"/>
          </w:tcPr>
          <w:p>
            <w:pPr>
              <w:jc w:val="center"/>
              <w:rPr>
                <w:rFonts w:ascii="仿宋" w:hAnsi="仿宋" w:eastAsia="仿宋" w:cs="仿宋"/>
                <w:b/>
                <w:bCs/>
                <w:color w:val="000000" w:themeColor="text1"/>
                <w:spacing w:val="-1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建成并开通：瓶窑镇施家路（前程路-观山路）、祥园西路（金昌路－通运街）、十四号路（金昌路-好运路）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Times New Roman"/>
                <w:b/>
                <w:bCs/>
                <w:color w:val="000000" w:themeColor="text1"/>
                <w:spacing w:val="-10"/>
                <w:sz w:val="24"/>
                <w:szCs w:val="24"/>
              </w:rPr>
              <w:t>（六）</w:t>
            </w:r>
          </w:p>
        </w:tc>
        <w:tc>
          <w:tcPr>
            <w:tcW w:w="5917" w:type="dxa"/>
            <w:vAlign w:val="center"/>
          </w:tcPr>
          <w:p>
            <w:pP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sz w:val="24"/>
                <w:szCs w:val="24"/>
              </w:rPr>
              <w:t>城镇污水处理设施建设</w:t>
            </w:r>
          </w:p>
        </w:tc>
        <w:tc>
          <w:tcPr>
            <w:tcW w:w="1200" w:type="dxa"/>
            <w:vAlign w:val="center"/>
          </w:tcPr>
          <w:p>
            <w:pPr>
              <w:jc w:val="center"/>
              <w:rPr>
                <w:rFonts w:ascii="仿宋" w:hAnsi="仿宋" w:eastAsia="仿宋" w:cs="Times New Roman"/>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完成污水管网建设共6.23公里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二</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雨水管网建设</w:t>
            </w:r>
          </w:p>
        </w:tc>
        <w:tc>
          <w:tcPr>
            <w:tcW w:w="1200" w:type="dxa"/>
            <w:vAlign w:val="center"/>
          </w:tcPr>
          <w:p>
            <w:pPr>
              <w:spacing w:line="240" w:lineRule="atLeast"/>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完成雨水管网建设共12公里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三</w:t>
            </w:r>
          </w:p>
        </w:tc>
        <w:tc>
          <w:tcPr>
            <w:tcW w:w="5917"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w:t>
            </w:r>
            <w:r>
              <w:rPr>
                <w:rFonts w:hint="eastAsia" w:ascii="仿宋" w:hAnsi="仿宋" w:eastAsia="仿宋" w:cs="仿宋"/>
                <w:spacing w:val="-10"/>
                <w:sz w:val="24"/>
                <w:szCs w:val="24"/>
                <w:lang w:eastAsia="zh-CN"/>
              </w:rPr>
              <w:t>一</w:t>
            </w:r>
            <w:r>
              <w:rPr>
                <w:rFonts w:hint="eastAsia" w:ascii="仿宋" w:hAnsi="仿宋" w:eastAsia="仿宋" w:cs="仿宋"/>
                <w:spacing w:val="-10"/>
                <w:sz w:val="24"/>
                <w:szCs w:val="24"/>
              </w:rPr>
              <w:t>）</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张家坝港（104国道—古墩路）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5917" w:type="dxa"/>
            <w:vAlign w:val="center"/>
          </w:tcPr>
          <w:p>
            <w:pPr>
              <w:adjustRightInd w:val="0"/>
              <w:snapToGrid w:val="0"/>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五常港支河（前进港）</w:t>
            </w:r>
          </w:p>
        </w:tc>
        <w:tc>
          <w:tcPr>
            <w:tcW w:w="1200" w:type="dxa"/>
            <w:vAlign w:val="center"/>
          </w:tcPr>
          <w:p>
            <w:pPr>
              <w:adjustRightInd w:val="0"/>
              <w:snapToGrid w:val="0"/>
              <w:jc w:val="center"/>
              <w:rPr>
                <w:rFonts w:hint="eastAsia" w:ascii="仿宋" w:hAnsi="仿宋" w:eastAsia="仿宋" w:cs="仿宋"/>
                <w:spacing w:val="-10"/>
                <w:kern w:val="2"/>
                <w:sz w:val="24"/>
                <w:szCs w:val="24"/>
                <w:lang w:val="en-US" w:eastAsia="zh-CN" w:bidi="ar-SA"/>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w:t>
            </w:r>
            <w:r>
              <w:rPr>
                <w:rFonts w:hint="eastAsia" w:ascii="仿宋" w:hAnsi="仿宋" w:eastAsia="仿宋" w:cs="仿宋"/>
                <w:spacing w:val="-10"/>
                <w:sz w:val="24"/>
                <w:szCs w:val="24"/>
                <w:lang w:eastAsia="zh-CN"/>
              </w:rPr>
              <w:t>二</w:t>
            </w:r>
            <w:r>
              <w:rPr>
                <w:rFonts w:hint="eastAsia" w:ascii="仿宋" w:hAnsi="仿宋" w:eastAsia="仿宋" w:cs="仿宋"/>
                <w:spacing w:val="-10"/>
                <w:sz w:val="24"/>
                <w:szCs w:val="24"/>
              </w:rPr>
              <w:t>）</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郁宅港（杭行路—京杭运河）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w:t>
            </w:r>
            <w:r>
              <w:rPr>
                <w:rFonts w:hint="eastAsia" w:ascii="仿宋" w:hAnsi="仿宋" w:eastAsia="仿宋" w:cs="仿宋"/>
                <w:spacing w:val="-10"/>
                <w:sz w:val="24"/>
                <w:szCs w:val="24"/>
                <w:lang w:eastAsia="zh-CN"/>
              </w:rPr>
              <w:t>三</w:t>
            </w:r>
            <w:r>
              <w:rPr>
                <w:rFonts w:hint="eastAsia" w:ascii="仿宋" w:hAnsi="仿宋" w:eastAsia="仿宋" w:cs="仿宋"/>
                <w:spacing w:val="-10"/>
                <w:sz w:val="24"/>
                <w:szCs w:val="24"/>
              </w:rPr>
              <w:t>）</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朱庙港（红卫港—何过港）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下门坝港（家漾—玉鸟路）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四</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7.14平方公里（建成区面积5%），累计52.85平方公里区域（建成区面积37%）达到海绵城市建设要求，重点打造具有较高海绵显示度的系统化重点建设区域，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在全区范围内创商贸东安置房工程、良渚新城二小等15个以上海绵示范项目，重点关注央补项目的海绵设计方案及工程实施；至少打造1个海绵设施与中央隔离带、机非隔离带或道侧绿化相结合的示范性道路项目。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五</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地下空间建设新增量（完工）30万平方米。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（城北副中心——良渚新城国际商务区核心区）核心区多个地块联建（总部商务岛）：力争完成土地带地下建设要求出让。</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（未来科技城公共中心区）圈层地下一体化统筹开发：绿汀路TOD（华润）等项目桩基开工，并开展体育馆等建筑方案设计。</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（未来科技城公共中心区）绿汀路TOD（华润）：桩基开工。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（未来科技城公共中心区）杭州未来科技文化中心：地下空间项目开工，并开展体育场馆建筑方案设计。</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（城北副中心——良渚新城国际商务区核心区）城北万象城幸福里（余政储出[2018]40号地块）：一期完工，二期主体结构施工。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（城北副中心——良渚新城国际商务区核心区）勾阳路站地下综合体（星宝地）（余政储出[2019]35号地块）：一期完成主体结构，二期完成地下室结构50%。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六</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地下综合管廊建设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（一）</w:t>
            </w:r>
          </w:p>
        </w:tc>
        <w:tc>
          <w:tcPr>
            <w:tcW w:w="5917" w:type="dxa"/>
            <w:vAlign w:val="center"/>
          </w:tcPr>
          <w:p>
            <w:pPr>
              <w:jc w:val="left"/>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前期项目</w:t>
            </w:r>
          </w:p>
        </w:tc>
        <w:tc>
          <w:tcPr>
            <w:tcW w:w="1200" w:type="dxa"/>
            <w:vAlign w:val="center"/>
          </w:tcPr>
          <w:p>
            <w:pPr>
              <w:jc w:val="center"/>
              <w:rPr>
                <w:rFonts w:hint="default"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val="en-US" w:eastAsia="zh-CN"/>
              </w:rPr>
              <w:t>1</w:t>
            </w:r>
          </w:p>
        </w:tc>
        <w:tc>
          <w:tcPr>
            <w:tcW w:w="5917" w:type="dxa"/>
            <w:vAlign w:val="center"/>
          </w:tcPr>
          <w:p>
            <w:pPr>
              <w:jc w:val="left"/>
              <w:rPr>
                <w:rFonts w:hint="eastAsia" w:ascii="仿宋" w:hAnsi="仿宋" w:eastAsia="仿宋" w:cs="仿宋"/>
                <w:color w:val="auto"/>
                <w:spacing w:val="-10"/>
                <w:kern w:val="2"/>
                <w:sz w:val="24"/>
                <w:szCs w:val="24"/>
                <w:lang w:val="en-US" w:eastAsia="zh-CN" w:bidi="ar-SA"/>
              </w:rPr>
            </w:pPr>
            <w:r>
              <w:rPr>
                <w:rFonts w:hint="eastAsia" w:ascii="仿宋" w:hAnsi="仿宋" w:eastAsia="仿宋" w:cs="仿宋"/>
                <w:color w:val="auto"/>
                <w:spacing w:val="-10"/>
                <w:sz w:val="24"/>
                <w:szCs w:val="24"/>
                <w:lang w:eastAsia="zh-CN"/>
              </w:rPr>
              <w:t>城西科创核心区综合管廊建设前期研究。</w:t>
            </w:r>
          </w:p>
        </w:tc>
        <w:tc>
          <w:tcPr>
            <w:tcW w:w="1200" w:type="dxa"/>
            <w:vAlign w:val="center"/>
          </w:tcPr>
          <w:p>
            <w:pPr>
              <w:jc w:val="center"/>
              <w:rPr>
                <w:rFonts w:hint="eastAsia" w:ascii="仿宋" w:hAnsi="仿宋" w:eastAsia="仿宋" w:cs="仿宋"/>
                <w:color w:val="auto"/>
                <w:spacing w:val="-1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七</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输变电工程建设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出具俞桥220千伏变电站网架优化工程路径意见。</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出具香樟220千伏输变电工程及对应110千伏送出工程站址路径红线意见，落实留祥快速路地面道路附属电缆隧道红线。</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出具通益220千伏输变电工程站址路径红线意见，明确土建先行具体实施方案。</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出具杭变-泉口220千伏线路工程（余杭段）路径意见。</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出具瓶窑-大陆改接香樟220千伏线路改造工程站址路径红线意见，落实留祥快速路地面道路附属电缆隧道红线。</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出具永福110千伏变电站3号主变扩建工程路径意见。</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7</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出具红卫110千伏输变电工程路径意见。</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8</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落实南湖110千伏输变电工程土地征收及配合供地工作。</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9</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3月底前支付民丰110千伏输变电工程第一期补差款，确保10月底前良睦路隧道通过验收交付供电公司。</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3月/10月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10</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配合完成白鹤滩特高压500千伏送出工程塔基占地赔偿、沿线房屋拆迁及居民安置、林勘审批等工作。</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配合完成湖杭铁路浙江杭州杭州西牵引站220千伏外部供电工程线路沿线政策处理工作。</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八</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新建供水管网16公里；</w:t>
            </w:r>
          </w:p>
          <w:p>
            <w:pPr>
              <w:jc w:val="left"/>
              <w:rPr>
                <w:rFonts w:ascii="仿宋" w:hAnsi="仿宋" w:eastAsia="仿宋" w:cs="仿宋"/>
                <w:spacing w:val="-10"/>
                <w:sz w:val="24"/>
                <w:szCs w:val="24"/>
              </w:rPr>
            </w:pPr>
            <w:r>
              <w:rPr>
                <w:rFonts w:hint="eastAsia" w:ascii="仿宋" w:hAnsi="仿宋" w:eastAsia="仿宋" w:cs="仿宋"/>
                <w:spacing w:val="-10"/>
                <w:sz w:val="24"/>
                <w:szCs w:val="24"/>
              </w:rPr>
              <w:t>改造供水管网3公里。</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九</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w:t>
            </w:r>
            <w:r>
              <w:rPr>
                <w:rFonts w:hint="eastAsia" w:ascii="仿宋" w:hAnsi="仿宋" w:eastAsia="仿宋" w:cs="仿宋"/>
                <w:spacing w:val="-10"/>
                <w:sz w:val="24"/>
                <w:szCs w:val="24"/>
                <w:lang w:val="en-US" w:eastAsia="zh-CN"/>
              </w:rPr>
              <w:t>2970</w:t>
            </w:r>
            <w:r>
              <w:rPr>
                <w:rFonts w:hint="eastAsia" w:ascii="仿宋" w:hAnsi="仿宋" w:eastAsia="仿宋" w:cs="仿宋"/>
                <w:spacing w:val="-10"/>
                <w:sz w:val="24"/>
                <w:szCs w:val="24"/>
              </w:rPr>
              <w:t>个，省民生标准公共泊位</w:t>
            </w:r>
            <w:r>
              <w:rPr>
                <w:rFonts w:hint="eastAsia" w:ascii="仿宋" w:hAnsi="仿宋" w:eastAsia="仿宋" w:cs="仿宋"/>
                <w:spacing w:val="-10"/>
                <w:sz w:val="24"/>
                <w:szCs w:val="24"/>
                <w:lang w:val="en-US" w:eastAsia="zh-CN"/>
              </w:rPr>
              <w:t>200</w:t>
            </w:r>
            <w:r>
              <w:rPr>
                <w:rFonts w:hint="eastAsia" w:ascii="仿宋" w:hAnsi="仿宋" w:eastAsia="仿宋" w:cs="仿宋"/>
                <w:spacing w:val="-10"/>
                <w:sz w:val="24"/>
                <w:szCs w:val="24"/>
              </w:rPr>
              <w:t>个。年度累计新增停车泊位</w:t>
            </w:r>
            <w:r>
              <w:rPr>
                <w:rFonts w:hint="eastAsia" w:ascii="仿宋" w:hAnsi="仿宋" w:eastAsia="仿宋" w:cs="仿宋"/>
                <w:spacing w:val="-10"/>
                <w:sz w:val="24"/>
                <w:szCs w:val="24"/>
                <w:lang w:val="en-US" w:eastAsia="zh-CN"/>
              </w:rPr>
              <w:t>7000</w:t>
            </w:r>
            <w:r>
              <w:rPr>
                <w:rFonts w:hint="eastAsia" w:ascii="仿宋" w:hAnsi="仿宋" w:eastAsia="仿宋" w:cs="仿宋"/>
                <w:spacing w:val="-10"/>
                <w:sz w:val="24"/>
                <w:szCs w:val="24"/>
              </w:rPr>
              <w:t>个，其中公共泊位（非临时）</w:t>
            </w:r>
            <w:r>
              <w:rPr>
                <w:rFonts w:hint="eastAsia" w:ascii="仿宋" w:hAnsi="仿宋" w:eastAsia="仿宋" w:cs="仿宋"/>
                <w:spacing w:val="-10"/>
                <w:sz w:val="24"/>
                <w:szCs w:val="24"/>
                <w:lang w:val="en-US" w:eastAsia="zh-CN"/>
              </w:rPr>
              <w:t>400</w:t>
            </w:r>
            <w:r>
              <w:rPr>
                <w:rFonts w:hint="eastAsia" w:ascii="仿宋" w:hAnsi="仿宋" w:eastAsia="仿宋" w:cs="仿宋"/>
                <w:spacing w:val="-10"/>
                <w:sz w:val="24"/>
                <w:szCs w:val="24"/>
              </w:rPr>
              <w:t>个。6月底前完成年度各类停车位竣工量原则不低于25%,11月底前完成省民生实事计划建设项目，其他项目完工原则不低于90%。新开工及续建公共停车泊位不少于</w:t>
            </w:r>
            <w:r>
              <w:rPr>
                <w:rFonts w:hint="eastAsia" w:ascii="仿宋" w:hAnsi="仿宋" w:eastAsia="仿宋" w:cs="仿宋"/>
                <w:spacing w:val="-10"/>
                <w:sz w:val="24"/>
                <w:szCs w:val="24"/>
                <w:lang w:val="en-US" w:eastAsia="zh-CN"/>
              </w:rPr>
              <w:t>2100</w:t>
            </w:r>
            <w:r>
              <w:rPr>
                <w:rFonts w:hint="eastAsia" w:ascii="仿宋" w:hAnsi="仿宋" w:eastAsia="仿宋" w:cs="仿宋"/>
                <w:spacing w:val="-10"/>
                <w:sz w:val="24"/>
                <w:szCs w:val="24"/>
              </w:rPr>
              <w:t>个。</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w:t>
            </w:r>
            <w:r>
              <w:rPr>
                <w:rFonts w:hint="eastAsia" w:ascii="仿宋" w:hAnsi="仿宋" w:eastAsia="仿宋" w:cs="仿宋"/>
                <w:spacing w:val="-10"/>
                <w:sz w:val="24"/>
                <w:szCs w:val="24"/>
                <w:lang w:eastAsia="zh-CN"/>
              </w:rPr>
              <w:t>良渚新城二小</w:t>
            </w:r>
            <w:r>
              <w:rPr>
                <w:rFonts w:hint="eastAsia" w:ascii="仿宋" w:hAnsi="仿宋" w:eastAsia="仿宋" w:cs="仿宋"/>
                <w:spacing w:val="-10"/>
                <w:sz w:val="24"/>
                <w:szCs w:val="24"/>
              </w:rPr>
              <w:t>地下公共停车库竣工准备。</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完成新能源汽车公用充电桩不少于300个。</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绿色建筑及建筑节能</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完成公共建筑节能改造4万平方米，居住建筑节能绿色化改造2万平方米；完成可再生能源应用30万平方米；实施（含完成）建筑太阳能光伏装机容量22.5兆瓦</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2个；完成超低能耗建筑示范立项不少于3万平方米；完成高替代率可再生能源建筑应用示范立项不少于9万平方米；完成既有公共建筑能效提升示范立项不少于22万平方米；开展绿色生态城区前期储备</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十一</w:t>
            </w:r>
          </w:p>
        </w:tc>
        <w:tc>
          <w:tcPr>
            <w:tcW w:w="5917" w:type="dxa"/>
            <w:vAlign w:val="center"/>
          </w:tcPr>
          <w:p>
            <w:pPr>
              <w:jc w:val="left"/>
              <w:rPr>
                <w:rFonts w:ascii="仿宋" w:hAnsi="仿宋" w:eastAsia="仿宋" w:cs="仿宋"/>
                <w:color w:val="000000" w:themeColor="text1"/>
                <w:spacing w:val="-10"/>
                <w:sz w:val="24"/>
                <w:szCs w:val="24"/>
              </w:rPr>
            </w:pPr>
            <w:r>
              <w:rPr>
                <w:rFonts w:ascii="宋体" w:hAnsi="宋体"/>
                <w:b/>
                <w:bCs/>
                <w:sz w:val="24"/>
                <w:szCs w:val="22"/>
              </w:rPr>
              <w:t>装配式建筑（建筑工业化）</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全年新开工装配式建筑面积达到170万平方米以上。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新开工装配式建筑占新建建筑比例达到30%。</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全年新开工装配式住宅面积达到70万平方米以上。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全年新开工钢结构装配式住宅(含农房)达到2万平方米以上。</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十二</w:t>
            </w:r>
          </w:p>
        </w:tc>
        <w:tc>
          <w:tcPr>
            <w:tcW w:w="5917" w:type="dxa"/>
            <w:vAlign w:val="center"/>
          </w:tcPr>
          <w:p>
            <w:pPr>
              <w:jc w:val="left"/>
              <w:rPr>
                <w:rFonts w:ascii="仿宋" w:hAnsi="仿宋" w:eastAsia="仿宋" w:cs="仿宋"/>
                <w:color w:val="000000" w:themeColor="text1"/>
                <w:spacing w:val="-10"/>
                <w:sz w:val="24"/>
                <w:szCs w:val="24"/>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仿宋"/>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jc w:val="left"/>
              <w:rPr>
                <w:rFonts w:ascii="仿宋" w:hAnsi="仿宋" w:eastAsia="仿宋" w:cs="仿宋"/>
                <w:spacing w:val="-10"/>
                <w:sz w:val="24"/>
                <w:szCs w:val="24"/>
              </w:rPr>
            </w:pPr>
            <w:r>
              <w:rPr>
                <w:rFonts w:hint="eastAsia" w:ascii="仿宋" w:hAnsi="仿宋" w:eastAsia="仿宋" w:cs="仿宋"/>
                <w:spacing w:val="-10"/>
                <w:sz w:val="24"/>
                <w:szCs w:val="24"/>
              </w:rPr>
              <w:t>余杭区南湖小镇工业厂建设（工业用水厂规模2 万吨/日）</w:t>
            </w:r>
          </w:p>
        </w:tc>
        <w:tc>
          <w:tcPr>
            <w:tcW w:w="1200" w:type="dxa"/>
            <w:vAlign w:val="center"/>
          </w:tcPr>
          <w:p>
            <w:pPr>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bl>
    <w:p>
      <w:pPr>
        <w:rPr>
          <w:rFonts w:ascii="仿宋" w:hAnsi="仿宋" w:eastAsia="仿宋" w:cs="Times New Roman"/>
          <w:color w:val="000000" w:themeColor="text1"/>
          <w:spacing w:val="-20"/>
          <w:position w:val="6"/>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NotTrackMoves/>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VhZjRhN2VkNGUyNzllODlhYjIyMjdhODY4YTJhMmUifQ=="/>
  </w:docVars>
  <w:rsids>
    <w:rsidRoot w:val="00940E77"/>
    <w:rsid w:val="000020CA"/>
    <w:rsid w:val="000044EB"/>
    <w:rsid w:val="00012DED"/>
    <w:rsid w:val="00024B23"/>
    <w:rsid w:val="00030F9C"/>
    <w:rsid w:val="00031E28"/>
    <w:rsid w:val="00037C28"/>
    <w:rsid w:val="00041551"/>
    <w:rsid w:val="0004314B"/>
    <w:rsid w:val="0004337E"/>
    <w:rsid w:val="000459AD"/>
    <w:rsid w:val="00054840"/>
    <w:rsid w:val="00061357"/>
    <w:rsid w:val="00062B59"/>
    <w:rsid w:val="00067EA4"/>
    <w:rsid w:val="000721C2"/>
    <w:rsid w:val="00072E7A"/>
    <w:rsid w:val="00073C85"/>
    <w:rsid w:val="000860A7"/>
    <w:rsid w:val="00090B1D"/>
    <w:rsid w:val="00097CB5"/>
    <w:rsid w:val="000A79EB"/>
    <w:rsid w:val="000A7EAC"/>
    <w:rsid w:val="000B1632"/>
    <w:rsid w:val="000B472D"/>
    <w:rsid w:val="000B7116"/>
    <w:rsid w:val="000B7546"/>
    <w:rsid w:val="000C074F"/>
    <w:rsid w:val="000C4E1B"/>
    <w:rsid w:val="000C6876"/>
    <w:rsid w:val="000D6C39"/>
    <w:rsid w:val="000E43CF"/>
    <w:rsid w:val="000E5112"/>
    <w:rsid w:val="000F4B80"/>
    <w:rsid w:val="000F5A4C"/>
    <w:rsid w:val="000F7313"/>
    <w:rsid w:val="00101B70"/>
    <w:rsid w:val="00101BE0"/>
    <w:rsid w:val="001051D1"/>
    <w:rsid w:val="00105634"/>
    <w:rsid w:val="00112764"/>
    <w:rsid w:val="00127538"/>
    <w:rsid w:val="001349D7"/>
    <w:rsid w:val="00150D8F"/>
    <w:rsid w:val="00151019"/>
    <w:rsid w:val="00153DA9"/>
    <w:rsid w:val="001540AA"/>
    <w:rsid w:val="00155AA6"/>
    <w:rsid w:val="00155F20"/>
    <w:rsid w:val="001611AB"/>
    <w:rsid w:val="001631C6"/>
    <w:rsid w:val="00170442"/>
    <w:rsid w:val="00170F7F"/>
    <w:rsid w:val="00173196"/>
    <w:rsid w:val="001770E8"/>
    <w:rsid w:val="00186F2A"/>
    <w:rsid w:val="001932ED"/>
    <w:rsid w:val="00196CB3"/>
    <w:rsid w:val="00196FED"/>
    <w:rsid w:val="001A09F7"/>
    <w:rsid w:val="001A5D93"/>
    <w:rsid w:val="001A67A9"/>
    <w:rsid w:val="001B0BB8"/>
    <w:rsid w:val="001C392A"/>
    <w:rsid w:val="001C44D5"/>
    <w:rsid w:val="001C728B"/>
    <w:rsid w:val="001C7E4A"/>
    <w:rsid w:val="001D0F30"/>
    <w:rsid w:val="001D15BA"/>
    <w:rsid w:val="001D6CB3"/>
    <w:rsid w:val="00212787"/>
    <w:rsid w:val="002224F3"/>
    <w:rsid w:val="00225917"/>
    <w:rsid w:val="002264C0"/>
    <w:rsid w:val="00232174"/>
    <w:rsid w:val="00240B78"/>
    <w:rsid w:val="0025713A"/>
    <w:rsid w:val="0026342A"/>
    <w:rsid w:val="00264824"/>
    <w:rsid w:val="00271F64"/>
    <w:rsid w:val="00273BFF"/>
    <w:rsid w:val="002748D6"/>
    <w:rsid w:val="00284B9F"/>
    <w:rsid w:val="00286756"/>
    <w:rsid w:val="002930A9"/>
    <w:rsid w:val="002A1AA2"/>
    <w:rsid w:val="002A23BB"/>
    <w:rsid w:val="002A3B0B"/>
    <w:rsid w:val="002B07D1"/>
    <w:rsid w:val="002B7A0D"/>
    <w:rsid w:val="002B7E3B"/>
    <w:rsid w:val="002C0FDD"/>
    <w:rsid w:val="002D0AAA"/>
    <w:rsid w:val="002D6615"/>
    <w:rsid w:val="002D6F66"/>
    <w:rsid w:val="002E03A7"/>
    <w:rsid w:val="002E3F0C"/>
    <w:rsid w:val="002E4B0B"/>
    <w:rsid w:val="002F6BC2"/>
    <w:rsid w:val="003071DC"/>
    <w:rsid w:val="00307C65"/>
    <w:rsid w:val="00311D13"/>
    <w:rsid w:val="00316BDA"/>
    <w:rsid w:val="00321501"/>
    <w:rsid w:val="003230A6"/>
    <w:rsid w:val="00324CDB"/>
    <w:rsid w:val="00335028"/>
    <w:rsid w:val="00335DF9"/>
    <w:rsid w:val="00337D95"/>
    <w:rsid w:val="003456B9"/>
    <w:rsid w:val="00352217"/>
    <w:rsid w:val="00352BB7"/>
    <w:rsid w:val="003550F0"/>
    <w:rsid w:val="00355444"/>
    <w:rsid w:val="003562AB"/>
    <w:rsid w:val="0036199B"/>
    <w:rsid w:val="00362D5F"/>
    <w:rsid w:val="00365BBB"/>
    <w:rsid w:val="00372923"/>
    <w:rsid w:val="003765A5"/>
    <w:rsid w:val="003772FE"/>
    <w:rsid w:val="00383E07"/>
    <w:rsid w:val="003847B8"/>
    <w:rsid w:val="00394B98"/>
    <w:rsid w:val="0039738F"/>
    <w:rsid w:val="003A23C7"/>
    <w:rsid w:val="003B01F0"/>
    <w:rsid w:val="003C2F24"/>
    <w:rsid w:val="003D1942"/>
    <w:rsid w:val="003D1EBA"/>
    <w:rsid w:val="003D3CCF"/>
    <w:rsid w:val="003D69FA"/>
    <w:rsid w:val="003E00EB"/>
    <w:rsid w:val="003E1994"/>
    <w:rsid w:val="003F06D7"/>
    <w:rsid w:val="003F165B"/>
    <w:rsid w:val="00400ABE"/>
    <w:rsid w:val="0043483C"/>
    <w:rsid w:val="00440C80"/>
    <w:rsid w:val="004479F2"/>
    <w:rsid w:val="004526C0"/>
    <w:rsid w:val="00456E7C"/>
    <w:rsid w:val="00481512"/>
    <w:rsid w:val="00482133"/>
    <w:rsid w:val="004837EF"/>
    <w:rsid w:val="00485DF7"/>
    <w:rsid w:val="004A1E2A"/>
    <w:rsid w:val="004B2CA9"/>
    <w:rsid w:val="004B6DD8"/>
    <w:rsid w:val="004C5C0A"/>
    <w:rsid w:val="004D31DF"/>
    <w:rsid w:val="005057E8"/>
    <w:rsid w:val="005061A1"/>
    <w:rsid w:val="00507C80"/>
    <w:rsid w:val="00510366"/>
    <w:rsid w:val="00513582"/>
    <w:rsid w:val="0051683B"/>
    <w:rsid w:val="00520783"/>
    <w:rsid w:val="00523F64"/>
    <w:rsid w:val="00526165"/>
    <w:rsid w:val="00526318"/>
    <w:rsid w:val="0053445D"/>
    <w:rsid w:val="005360E2"/>
    <w:rsid w:val="00537203"/>
    <w:rsid w:val="005401BD"/>
    <w:rsid w:val="005428CB"/>
    <w:rsid w:val="0054763F"/>
    <w:rsid w:val="005546CA"/>
    <w:rsid w:val="00567A4E"/>
    <w:rsid w:val="00570470"/>
    <w:rsid w:val="00571918"/>
    <w:rsid w:val="00577CAD"/>
    <w:rsid w:val="00597870"/>
    <w:rsid w:val="005A0E69"/>
    <w:rsid w:val="005A620B"/>
    <w:rsid w:val="005B244E"/>
    <w:rsid w:val="005B2D3F"/>
    <w:rsid w:val="005C453A"/>
    <w:rsid w:val="005C76C2"/>
    <w:rsid w:val="005E1888"/>
    <w:rsid w:val="005E1F1F"/>
    <w:rsid w:val="005F05DC"/>
    <w:rsid w:val="005F50EF"/>
    <w:rsid w:val="005F7BB1"/>
    <w:rsid w:val="005F7F98"/>
    <w:rsid w:val="00602FF2"/>
    <w:rsid w:val="00603B65"/>
    <w:rsid w:val="00631D34"/>
    <w:rsid w:val="006337D8"/>
    <w:rsid w:val="0064292E"/>
    <w:rsid w:val="006446F2"/>
    <w:rsid w:val="006453D6"/>
    <w:rsid w:val="0065011E"/>
    <w:rsid w:val="006568DF"/>
    <w:rsid w:val="0067408C"/>
    <w:rsid w:val="00675E21"/>
    <w:rsid w:val="0068128D"/>
    <w:rsid w:val="00685A85"/>
    <w:rsid w:val="006928B1"/>
    <w:rsid w:val="0069340D"/>
    <w:rsid w:val="00697AEC"/>
    <w:rsid w:val="00697FCB"/>
    <w:rsid w:val="006A0993"/>
    <w:rsid w:val="006A5969"/>
    <w:rsid w:val="006A71EE"/>
    <w:rsid w:val="006B02FF"/>
    <w:rsid w:val="006B227F"/>
    <w:rsid w:val="006B4602"/>
    <w:rsid w:val="006C06FB"/>
    <w:rsid w:val="006C0916"/>
    <w:rsid w:val="006C0A06"/>
    <w:rsid w:val="006C6DBF"/>
    <w:rsid w:val="006D5E68"/>
    <w:rsid w:val="006D6D7A"/>
    <w:rsid w:val="006E3DAC"/>
    <w:rsid w:val="006E536D"/>
    <w:rsid w:val="006F6DF8"/>
    <w:rsid w:val="00705704"/>
    <w:rsid w:val="00722FAF"/>
    <w:rsid w:val="00723E6E"/>
    <w:rsid w:val="007301A3"/>
    <w:rsid w:val="0073419B"/>
    <w:rsid w:val="0074131B"/>
    <w:rsid w:val="007424F7"/>
    <w:rsid w:val="0075316E"/>
    <w:rsid w:val="00756BB1"/>
    <w:rsid w:val="00760352"/>
    <w:rsid w:val="00764C87"/>
    <w:rsid w:val="00771441"/>
    <w:rsid w:val="007728E1"/>
    <w:rsid w:val="007733B5"/>
    <w:rsid w:val="00784D4D"/>
    <w:rsid w:val="0078653F"/>
    <w:rsid w:val="0079764F"/>
    <w:rsid w:val="007A1A6C"/>
    <w:rsid w:val="007A219B"/>
    <w:rsid w:val="007B1EEB"/>
    <w:rsid w:val="007B4EA7"/>
    <w:rsid w:val="007C1956"/>
    <w:rsid w:val="007C7591"/>
    <w:rsid w:val="007C7B24"/>
    <w:rsid w:val="007D1A94"/>
    <w:rsid w:val="007D4515"/>
    <w:rsid w:val="007D49C1"/>
    <w:rsid w:val="007F1DDC"/>
    <w:rsid w:val="007F360A"/>
    <w:rsid w:val="0080496A"/>
    <w:rsid w:val="00822775"/>
    <w:rsid w:val="00835ACB"/>
    <w:rsid w:val="00842926"/>
    <w:rsid w:val="00843CE2"/>
    <w:rsid w:val="0086721E"/>
    <w:rsid w:val="00867B10"/>
    <w:rsid w:val="00873974"/>
    <w:rsid w:val="00873AAC"/>
    <w:rsid w:val="00873DD4"/>
    <w:rsid w:val="00874D40"/>
    <w:rsid w:val="008848F6"/>
    <w:rsid w:val="00890E2D"/>
    <w:rsid w:val="00891058"/>
    <w:rsid w:val="0089171D"/>
    <w:rsid w:val="00892A8F"/>
    <w:rsid w:val="00894997"/>
    <w:rsid w:val="00895ABC"/>
    <w:rsid w:val="00897E0E"/>
    <w:rsid w:val="008B706E"/>
    <w:rsid w:val="008B7BEE"/>
    <w:rsid w:val="008C19C9"/>
    <w:rsid w:val="008C28B2"/>
    <w:rsid w:val="008D1AEF"/>
    <w:rsid w:val="00902C92"/>
    <w:rsid w:val="00914E51"/>
    <w:rsid w:val="00922C65"/>
    <w:rsid w:val="00930A57"/>
    <w:rsid w:val="00931949"/>
    <w:rsid w:val="00931A31"/>
    <w:rsid w:val="009329D3"/>
    <w:rsid w:val="009336CA"/>
    <w:rsid w:val="00934D36"/>
    <w:rsid w:val="00936C87"/>
    <w:rsid w:val="00940E77"/>
    <w:rsid w:val="0095149C"/>
    <w:rsid w:val="00957441"/>
    <w:rsid w:val="00960179"/>
    <w:rsid w:val="009601F7"/>
    <w:rsid w:val="00962278"/>
    <w:rsid w:val="00967EAF"/>
    <w:rsid w:val="00970762"/>
    <w:rsid w:val="009719B3"/>
    <w:rsid w:val="009758EF"/>
    <w:rsid w:val="009A501D"/>
    <w:rsid w:val="009B2BDB"/>
    <w:rsid w:val="009B3F02"/>
    <w:rsid w:val="009B4D1F"/>
    <w:rsid w:val="009C7E20"/>
    <w:rsid w:val="009D3BE6"/>
    <w:rsid w:val="009E1DC4"/>
    <w:rsid w:val="009E28E2"/>
    <w:rsid w:val="009E425D"/>
    <w:rsid w:val="009E4764"/>
    <w:rsid w:val="009F28B4"/>
    <w:rsid w:val="009F5874"/>
    <w:rsid w:val="009F65C4"/>
    <w:rsid w:val="009F74AA"/>
    <w:rsid w:val="00A01420"/>
    <w:rsid w:val="00A014DA"/>
    <w:rsid w:val="00A1437A"/>
    <w:rsid w:val="00A17681"/>
    <w:rsid w:val="00A23C22"/>
    <w:rsid w:val="00A24386"/>
    <w:rsid w:val="00A25269"/>
    <w:rsid w:val="00A27D32"/>
    <w:rsid w:val="00A36F7C"/>
    <w:rsid w:val="00A42656"/>
    <w:rsid w:val="00A43A45"/>
    <w:rsid w:val="00A46C29"/>
    <w:rsid w:val="00A5728B"/>
    <w:rsid w:val="00A57D7A"/>
    <w:rsid w:val="00A64196"/>
    <w:rsid w:val="00A643BD"/>
    <w:rsid w:val="00A72819"/>
    <w:rsid w:val="00A76DE7"/>
    <w:rsid w:val="00A83A0D"/>
    <w:rsid w:val="00A85DA4"/>
    <w:rsid w:val="00A86F91"/>
    <w:rsid w:val="00AC05B5"/>
    <w:rsid w:val="00AC32B9"/>
    <w:rsid w:val="00AC4A9F"/>
    <w:rsid w:val="00AD6080"/>
    <w:rsid w:val="00AD644E"/>
    <w:rsid w:val="00AF2251"/>
    <w:rsid w:val="00B02B8E"/>
    <w:rsid w:val="00B0344C"/>
    <w:rsid w:val="00B1095D"/>
    <w:rsid w:val="00B130EA"/>
    <w:rsid w:val="00B1423B"/>
    <w:rsid w:val="00B2425A"/>
    <w:rsid w:val="00B254EF"/>
    <w:rsid w:val="00B4572F"/>
    <w:rsid w:val="00B5506F"/>
    <w:rsid w:val="00B577AE"/>
    <w:rsid w:val="00B60F15"/>
    <w:rsid w:val="00B75A68"/>
    <w:rsid w:val="00B8543F"/>
    <w:rsid w:val="00B926F1"/>
    <w:rsid w:val="00B92D35"/>
    <w:rsid w:val="00BA1FDF"/>
    <w:rsid w:val="00BC18B2"/>
    <w:rsid w:val="00BC296F"/>
    <w:rsid w:val="00BC6FC3"/>
    <w:rsid w:val="00BD13EA"/>
    <w:rsid w:val="00BD214A"/>
    <w:rsid w:val="00BD47D5"/>
    <w:rsid w:val="00BF59E0"/>
    <w:rsid w:val="00C015E7"/>
    <w:rsid w:val="00C04642"/>
    <w:rsid w:val="00C07EC3"/>
    <w:rsid w:val="00C106E2"/>
    <w:rsid w:val="00C15FF4"/>
    <w:rsid w:val="00C16E3E"/>
    <w:rsid w:val="00C17954"/>
    <w:rsid w:val="00C179DE"/>
    <w:rsid w:val="00C21BE7"/>
    <w:rsid w:val="00C230C2"/>
    <w:rsid w:val="00C25142"/>
    <w:rsid w:val="00C27185"/>
    <w:rsid w:val="00C27A3A"/>
    <w:rsid w:val="00C323F5"/>
    <w:rsid w:val="00C361A8"/>
    <w:rsid w:val="00C3626C"/>
    <w:rsid w:val="00C36CDC"/>
    <w:rsid w:val="00C42FC1"/>
    <w:rsid w:val="00C459D1"/>
    <w:rsid w:val="00C46BCB"/>
    <w:rsid w:val="00C47D3D"/>
    <w:rsid w:val="00C63C61"/>
    <w:rsid w:val="00C66307"/>
    <w:rsid w:val="00C74F4A"/>
    <w:rsid w:val="00C8004B"/>
    <w:rsid w:val="00C843F3"/>
    <w:rsid w:val="00C85B59"/>
    <w:rsid w:val="00C9018B"/>
    <w:rsid w:val="00C968C9"/>
    <w:rsid w:val="00CA34ED"/>
    <w:rsid w:val="00CA7DF8"/>
    <w:rsid w:val="00CB7510"/>
    <w:rsid w:val="00CC29DA"/>
    <w:rsid w:val="00CC364D"/>
    <w:rsid w:val="00CD66C4"/>
    <w:rsid w:val="00CD730F"/>
    <w:rsid w:val="00CE390B"/>
    <w:rsid w:val="00CF599F"/>
    <w:rsid w:val="00CF6185"/>
    <w:rsid w:val="00D1146A"/>
    <w:rsid w:val="00D24F0C"/>
    <w:rsid w:val="00D26CCB"/>
    <w:rsid w:val="00D35DB8"/>
    <w:rsid w:val="00D4098A"/>
    <w:rsid w:val="00D41A1E"/>
    <w:rsid w:val="00D44B7F"/>
    <w:rsid w:val="00D46F93"/>
    <w:rsid w:val="00D6760E"/>
    <w:rsid w:val="00D733B4"/>
    <w:rsid w:val="00D83ED1"/>
    <w:rsid w:val="00D950E1"/>
    <w:rsid w:val="00D97742"/>
    <w:rsid w:val="00DA3360"/>
    <w:rsid w:val="00DA3D16"/>
    <w:rsid w:val="00DA7141"/>
    <w:rsid w:val="00DB65FB"/>
    <w:rsid w:val="00DC1BB4"/>
    <w:rsid w:val="00DC3E07"/>
    <w:rsid w:val="00DC3FCF"/>
    <w:rsid w:val="00DD1464"/>
    <w:rsid w:val="00DD26E9"/>
    <w:rsid w:val="00DE07DB"/>
    <w:rsid w:val="00DE1DC4"/>
    <w:rsid w:val="00DE2582"/>
    <w:rsid w:val="00DE46B0"/>
    <w:rsid w:val="00E04377"/>
    <w:rsid w:val="00E20DA1"/>
    <w:rsid w:val="00E21057"/>
    <w:rsid w:val="00E21962"/>
    <w:rsid w:val="00E21BA8"/>
    <w:rsid w:val="00E27098"/>
    <w:rsid w:val="00E3216D"/>
    <w:rsid w:val="00E3515A"/>
    <w:rsid w:val="00E368F4"/>
    <w:rsid w:val="00E417CE"/>
    <w:rsid w:val="00E44866"/>
    <w:rsid w:val="00E46F6A"/>
    <w:rsid w:val="00E50DDC"/>
    <w:rsid w:val="00E5397A"/>
    <w:rsid w:val="00E574F8"/>
    <w:rsid w:val="00E57EB7"/>
    <w:rsid w:val="00E6185E"/>
    <w:rsid w:val="00E6661A"/>
    <w:rsid w:val="00E71D40"/>
    <w:rsid w:val="00E77A5C"/>
    <w:rsid w:val="00E85902"/>
    <w:rsid w:val="00E93C94"/>
    <w:rsid w:val="00E97344"/>
    <w:rsid w:val="00EB107A"/>
    <w:rsid w:val="00EC393D"/>
    <w:rsid w:val="00EC3DA2"/>
    <w:rsid w:val="00ED2F95"/>
    <w:rsid w:val="00EF381F"/>
    <w:rsid w:val="00EF6EFA"/>
    <w:rsid w:val="00F0015E"/>
    <w:rsid w:val="00F06D25"/>
    <w:rsid w:val="00F1227C"/>
    <w:rsid w:val="00F12BE9"/>
    <w:rsid w:val="00F14305"/>
    <w:rsid w:val="00F27326"/>
    <w:rsid w:val="00F33AD0"/>
    <w:rsid w:val="00F41BFD"/>
    <w:rsid w:val="00F44F99"/>
    <w:rsid w:val="00F4521D"/>
    <w:rsid w:val="00F53C54"/>
    <w:rsid w:val="00F56B4D"/>
    <w:rsid w:val="00F57F7E"/>
    <w:rsid w:val="00F66FE1"/>
    <w:rsid w:val="00F93A0F"/>
    <w:rsid w:val="00F9798F"/>
    <w:rsid w:val="00FA1DED"/>
    <w:rsid w:val="00FA5584"/>
    <w:rsid w:val="00FB51F6"/>
    <w:rsid w:val="00FC30D8"/>
    <w:rsid w:val="00FD2F45"/>
    <w:rsid w:val="00FD37D1"/>
    <w:rsid w:val="00FD73AE"/>
    <w:rsid w:val="00FF2324"/>
    <w:rsid w:val="065B1AE0"/>
    <w:rsid w:val="07686B4B"/>
    <w:rsid w:val="0BE3718A"/>
    <w:rsid w:val="0D2D54B7"/>
    <w:rsid w:val="0F404C5D"/>
    <w:rsid w:val="12E25B10"/>
    <w:rsid w:val="12E65B4D"/>
    <w:rsid w:val="13241A7F"/>
    <w:rsid w:val="1687440C"/>
    <w:rsid w:val="16E472C0"/>
    <w:rsid w:val="16E63301"/>
    <w:rsid w:val="18063BBD"/>
    <w:rsid w:val="1A172125"/>
    <w:rsid w:val="1BEE4FF0"/>
    <w:rsid w:val="1D66676E"/>
    <w:rsid w:val="1E5B7DBB"/>
    <w:rsid w:val="1FDE1E3A"/>
    <w:rsid w:val="21D06F35"/>
    <w:rsid w:val="262E5F76"/>
    <w:rsid w:val="268C4B69"/>
    <w:rsid w:val="28855E62"/>
    <w:rsid w:val="288A4E37"/>
    <w:rsid w:val="2C3F2C69"/>
    <w:rsid w:val="2CA12E18"/>
    <w:rsid w:val="2CF7FC8F"/>
    <w:rsid w:val="2D69229E"/>
    <w:rsid w:val="2DCD6548"/>
    <w:rsid w:val="2F9FDD61"/>
    <w:rsid w:val="2FDA68F7"/>
    <w:rsid w:val="33597873"/>
    <w:rsid w:val="337B4D05"/>
    <w:rsid w:val="34322B6D"/>
    <w:rsid w:val="379748C8"/>
    <w:rsid w:val="39F35764"/>
    <w:rsid w:val="3B972A42"/>
    <w:rsid w:val="3D7449E6"/>
    <w:rsid w:val="3E4302B8"/>
    <w:rsid w:val="3E7B536E"/>
    <w:rsid w:val="3E7D62B1"/>
    <w:rsid w:val="3EFC5E49"/>
    <w:rsid w:val="3F2E28F3"/>
    <w:rsid w:val="3FBF074F"/>
    <w:rsid w:val="3FEC2E6D"/>
    <w:rsid w:val="42605ECD"/>
    <w:rsid w:val="42950AF1"/>
    <w:rsid w:val="439B6C7C"/>
    <w:rsid w:val="43FA13CE"/>
    <w:rsid w:val="44B62A55"/>
    <w:rsid w:val="4A4F7A1D"/>
    <w:rsid w:val="4AE2303F"/>
    <w:rsid w:val="4B1A6937"/>
    <w:rsid w:val="4D1C2E01"/>
    <w:rsid w:val="4FADB9D4"/>
    <w:rsid w:val="503F073B"/>
    <w:rsid w:val="517F386A"/>
    <w:rsid w:val="577B8ED1"/>
    <w:rsid w:val="577FCB8D"/>
    <w:rsid w:val="57F932F9"/>
    <w:rsid w:val="59F57262"/>
    <w:rsid w:val="5C00512F"/>
    <w:rsid w:val="5CFF68C5"/>
    <w:rsid w:val="5FB32A6C"/>
    <w:rsid w:val="66D74A1A"/>
    <w:rsid w:val="680E2F36"/>
    <w:rsid w:val="6A717DA5"/>
    <w:rsid w:val="6C1B2DFD"/>
    <w:rsid w:val="71D946D7"/>
    <w:rsid w:val="75DE78C5"/>
    <w:rsid w:val="76FD11EB"/>
    <w:rsid w:val="778D3145"/>
    <w:rsid w:val="78DD22E4"/>
    <w:rsid w:val="79B616F5"/>
    <w:rsid w:val="7B7D9B50"/>
    <w:rsid w:val="7BE851E0"/>
    <w:rsid w:val="7BFF8888"/>
    <w:rsid w:val="7C5E5E7B"/>
    <w:rsid w:val="7CA34B02"/>
    <w:rsid w:val="7CE87DA1"/>
    <w:rsid w:val="7FEF0BCB"/>
    <w:rsid w:val="7FFE8E6B"/>
    <w:rsid w:val="A7DD3BC8"/>
    <w:rsid w:val="B3BE935F"/>
    <w:rsid w:val="B7FB04A5"/>
    <w:rsid w:val="BFDDC4BA"/>
    <w:rsid w:val="BFDF7286"/>
    <w:rsid w:val="D9DF7C78"/>
    <w:rsid w:val="E33E27E6"/>
    <w:rsid w:val="E7F748CE"/>
    <w:rsid w:val="EF3EB034"/>
    <w:rsid w:val="F0FF0AA0"/>
    <w:rsid w:val="F1FE84D5"/>
    <w:rsid w:val="F47EC6C1"/>
    <w:rsid w:val="F77F5A59"/>
    <w:rsid w:val="FDB0EF1A"/>
    <w:rsid w:val="FFFBC18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rFonts w:cs="Times New Roman"/>
      <w:sz w:val="18"/>
      <w:szCs w:val="18"/>
    </w:rPr>
  </w:style>
  <w:style w:type="paragraph" w:styleId="3">
    <w:name w:val="footer"/>
    <w:basedOn w:val="1"/>
    <w:link w:val="10"/>
    <w:qFormat/>
    <w:uiPriority w:val="99"/>
    <w:pPr>
      <w:tabs>
        <w:tab w:val="center" w:pos="4153"/>
        <w:tab w:val="right" w:pos="8306"/>
      </w:tabs>
      <w:snapToGrid w:val="0"/>
      <w:jc w:val="left"/>
    </w:pPr>
    <w:rPr>
      <w:rFonts w:cs="Times New Roman"/>
      <w:kern w:val="0"/>
      <w:sz w:val="18"/>
      <w:szCs w:val="20"/>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cs="Times New Roman"/>
      <w:kern w:val="0"/>
      <w:sz w:val="18"/>
      <w:szCs w:val="20"/>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link w:val="2"/>
    <w:semiHidden/>
    <w:qFormat/>
    <w:locked/>
    <w:uiPriority w:val="99"/>
    <w:rPr>
      <w:rFonts w:cs="Times New Roman"/>
      <w:kern w:val="2"/>
      <w:sz w:val="18"/>
    </w:rPr>
  </w:style>
  <w:style w:type="character" w:customStyle="1" w:styleId="10">
    <w:name w:val="页脚 字符"/>
    <w:link w:val="3"/>
    <w:qFormat/>
    <w:locked/>
    <w:uiPriority w:val="99"/>
    <w:rPr>
      <w:rFonts w:cs="Times New Roman"/>
      <w:sz w:val="18"/>
    </w:rPr>
  </w:style>
  <w:style w:type="character" w:customStyle="1" w:styleId="11">
    <w:name w:val="页眉 字符"/>
    <w:link w:val="4"/>
    <w:qFormat/>
    <w:locked/>
    <w:uiPriority w:val="99"/>
    <w:rPr>
      <w:rFonts w:cs="Times New Roman"/>
      <w:sz w:val="18"/>
    </w:rPr>
  </w:style>
  <w:style w:type="character" w:customStyle="1" w:styleId="12">
    <w:name w:val="font01"/>
    <w:qFormat/>
    <w:uiPriority w:val="99"/>
    <w:rPr>
      <w:rFonts w:ascii="宋体" w:hAnsi="宋体" w:eastAsia="宋体"/>
      <w:color w:val="000000"/>
      <w:sz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779</Words>
  <Characters>4442</Characters>
  <Lines>37</Lines>
  <Paragraphs>10</Paragraphs>
  <TotalTime>0</TotalTime>
  <ScaleCrop>false</ScaleCrop>
  <LinksUpToDate>false</LinksUpToDate>
  <CharactersWithSpaces>5211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2020-03-16T06:51:00Z</dcterms:created>
  <dc:creator>谢宁</dc:creator>
  <cp:lastModifiedBy>user</cp:lastModifiedBy>
  <cp:lastPrinted>2020-03-19T02:18:00Z</cp:lastPrinted>
  <dcterms:modified xsi:type="dcterms:W3CDTF">2022-07-22T16:32:36Z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EB8CEFED89084A96AF60DEB27B0AABC5</vt:lpwstr>
  </property>
</Properties>
</file>