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44"/>
          <w:szCs w:val="44"/>
        </w:rPr>
      </w:pPr>
      <w:r>
        <w:rPr>
          <w:rFonts w:ascii="黑体" w:hAnsi="黑体" w:eastAsia="黑体" w:cs="黑体"/>
          <w:sz w:val="44"/>
          <w:szCs w:val="44"/>
        </w:rPr>
        <w:t>202</w:t>
      </w:r>
      <w:r>
        <w:rPr>
          <w:rFonts w:hint="eastAsia" w:ascii="黑体" w:hAnsi="黑体" w:eastAsia="黑体" w:cs="黑体"/>
          <w:sz w:val="44"/>
          <w:szCs w:val="44"/>
        </w:rPr>
        <w:t>2年萧山区重大基础设施建设任务</w:t>
      </w:r>
    </w:p>
    <w:p>
      <w:pPr>
        <w:jc w:val="center"/>
        <w:rPr>
          <w:rFonts w:ascii="黑体" w:hAnsi="黑体" w:eastAsia="黑体" w:cs="黑体"/>
          <w:sz w:val="44"/>
          <w:szCs w:val="44"/>
        </w:rPr>
      </w:pPr>
      <w:r>
        <w:rPr>
          <w:rFonts w:hint="eastAsia" w:ascii="黑体" w:hAnsi="黑体" w:eastAsia="黑体" w:cs="黑体"/>
          <w:sz w:val="44"/>
          <w:szCs w:val="44"/>
        </w:rPr>
        <w:t>共性目标</w:t>
      </w:r>
    </w:p>
    <w:tbl>
      <w:tblPr>
        <w:tblStyle w:val="6"/>
        <w:tblW w:w="8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94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序号</w:t>
            </w:r>
          </w:p>
        </w:tc>
        <w:tc>
          <w:tcPr>
            <w:tcW w:w="594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目标名称</w:t>
            </w:r>
          </w:p>
        </w:tc>
        <w:tc>
          <w:tcPr>
            <w:tcW w:w="141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一</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按市委市政府工作任务和省建设厅各类要求，制定本区年度工作目标，重要内容不少报、漏报；并做好台帐整理。</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二</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编制建设计划</w:t>
            </w:r>
          </w:p>
        </w:tc>
        <w:tc>
          <w:tcPr>
            <w:tcW w:w="1417" w:type="dxa"/>
            <w:noWrap w:val="0"/>
            <w:vAlign w:val="center"/>
          </w:tcPr>
          <w:p>
            <w:pPr>
              <w:adjustRightInd w:val="0"/>
              <w:snapToGrid w:val="0"/>
              <w:jc w:val="center"/>
              <w:rPr>
                <w:rFonts w:ascii="仿宋" w:hAnsi="仿宋" w:eastAsia="仿宋" w:cs="Times New Roman"/>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结合区域发展规划开展并细化辖区内十四五路网（含联网路专篇）建设规划。</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制定2022年度建筑工业化工作计划，明确装配式建筑目标任务并组织实施。</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配合做好《杭州市停车设施专项规划》编制工作。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三</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推进专项行动</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根据省市治堵考核目标，推进快速路及配套城市道路、过街设施等项目建设。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关于进一步提升杭州市市政道路工程质量管理的若干意见》及相关配套文件要求，做好“迎亚运”道路建设项目工程质量管理工作，做好已建成道路质量“回头看”工作，做好道路红线内外“工完场清”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3</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根据《“迎亚运”城市基础设施建设百日攻坚方案》（亚杭指〔2022〕7号）文件要求，落实市运保指挥部、市“迎亚运”道路行动专班相关工作。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根据《杭州市打通“断头路”（三年）及“中环”建设（五年）行动计划》要求，推进断头路项目建设。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5</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ascii="仿宋" w:hAnsi="仿宋" w:eastAsia="仿宋" w:cs="仿宋"/>
                <w:color w:val="000000" w:themeColor="text1"/>
                <w:spacing w:val="-10"/>
                <w:sz w:val="24"/>
                <w:szCs w:val="24"/>
              </w:rPr>
              <w:t>20</w:t>
            </w:r>
            <w:r>
              <w:rPr>
                <w:rFonts w:hint="eastAsia" w:ascii="仿宋" w:hAnsi="仿宋" w:eastAsia="仿宋" w:cs="仿宋"/>
                <w:color w:val="000000" w:themeColor="text1"/>
                <w:spacing w:val="-10"/>
                <w:sz w:val="24"/>
                <w:szCs w:val="24"/>
                <w:lang w:val="en-US" w:eastAsia="zh-CN"/>
              </w:rPr>
              <w:t>20</w:t>
            </w:r>
            <w:r>
              <w:rPr>
                <w:rFonts w:hint="eastAsia" w:ascii="仿宋" w:hAnsi="仿宋" w:eastAsia="仿宋" w:cs="仿宋"/>
                <w:color w:val="000000" w:themeColor="text1"/>
                <w:spacing w:val="-10"/>
                <w:sz w:val="24"/>
                <w:szCs w:val="24"/>
              </w:rPr>
              <w:t>年</w:t>
            </w:r>
            <w:r>
              <w:rPr>
                <w:rFonts w:hint="eastAsia" w:ascii="仿宋" w:hAnsi="仿宋" w:eastAsia="仿宋" w:cs="仿宋"/>
                <w:color w:val="000000" w:themeColor="text1"/>
                <w:spacing w:val="-10"/>
                <w:sz w:val="24"/>
                <w:szCs w:val="24"/>
                <w:lang w:val="en-US" w:eastAsia="zh-CN"/>
              </w:rPr>
              <w:t>底</w:t>
            </w:r>
            <w:r>
              <w:rPr>
                <w:rFonts w:hint="eastAsia" w:ascii="仿宋" w:hAnsi="仿宋" w:eastAsia="仿宋" w:cs="仿宋"/>
                <w:color w:val="000000" w:themeColor="text1"/>
                <w:spacing w:val="-10"/>
                <w:sz w:val="24"/>
                <w:szCs w:val="24"/>
              </w:rPr>
              <w:t>前</w:t>
            </w:r>
            <w:r>
              <w:rPr>
                <w:rFonts w:hint="eastAsia" w:ascii="仿宋" w:hAnsi="仿宋" w:eastAsia="仿宋" w:cs="仿宋"/>
                <w:color w:val="000000" w:themeColor="text1"/>
                <w:spacing w:val="-10"/>
                <w:sz w:val="24"/>
                <w:szCs w:val="24"/>
                <w:lang w:val="en-US" w:eastAsia="zh-CN"/>
              </w:rPr>
              <w:t>建成的市政道路（含排水、桥梁、隧道）项目</w:t>
            </w:r>
            <w:r>
              <w:rPr>
                <w:rFonts w:hint="eastAsia" w:ascii="仿宋" w:hAnsi="仿宋" w:eastAsia="仿宋" w:cs="仿宋"/>
                <w:color w:val="000000" w:themeColor="text1"/>
                <w:spacing w:val="-10"/>
                <w:sz w:val="24"/>
                <w:szCs w:val="24"/>
                <w:lang w:eastAsia="zh-CN"/>
              </w:rPr>
              <w:t>完成</w:t>
            </w:r>
            <w:r>
              <w:rPr>
                <w:rFonts w:hint="eastAsia" w:ascii="仿宋" w:hAnsi="仿宋" w:eastAsia="仿宋" w:cs="仿宋"/>
                <w:color w:val="000000" w:themeColor="text1"/>
                <w:spacing w:val="-10"/>
                <w:sz w:val="24"/>
                <w:szCs w:val="24"/>
              </w:rPr>
              <w:t>移交</w:t>
            </w:r>
            <w:r>
              <w:rPr>
                <w:rFonts w:hint="eastAsia" w:ascii="仿宋" w:hAnsi="仿宋" w:eastAsia="仿宋" w:cs="仿宋"/>
                <w:color w:val="000000" w:themeColor="text1"/>
                <w:spacing w:val="-10"/>
                <w:sz w:val="24"/>
                <w:szCs w:val="24"/>
                <w:lang w:val="en-US" w:eastAsia="zh-CN"/>
              </w:rPr>
              <w:t>工作；</w:t>
            </w:r>
            <w:r>
              <w:rPr>
                <w:rFonts w:ascii="仿宋" w:hAnsi="仿宋" w:eastAsia="仿宋" w:cs="仿宋"/>
                <w:color w:val="000000" w:themeColor="text1"/>
                <w:spacing w:val="-10"/>
                <w:sz w:val="24"/>
                <w:szCs w:val="24"/>
              </w:rPr>
              <w:t>20</w:t>
            </w:r>
            <w:r>
              <w:rPr>
                <w:rFonts w:hint="eastAsia" w:ascii="仿宋" w:hAnsi="仿宋" w:eastAsia="仿宋" w:cs="仿宋"/>
                <w:color w:val="000000" w:themeColor="text1"/>
                <w:spacing w:val="-10"/>
                <w:sz w:val="24"/>
                <w:szCs w:val="24"/>
              </w:rPr>
              <w:t>2</w:t>
            </w:r>
            <w:r>
              <w:rPr>
                <w:rFonts w:hint="eastAsia" w:ascii="仿宋" w:hAnsi="仿宋" w:eastAsia="仿宋" w:cs="仿宋"/>
                <w:color w:val="000000" w:themeColor="text1"/>
                <w:spacing w:val="-10"/>
                <w:sz w:val="24"/>
                <w:szCs w:val="24"/>
                <w:lang w:val="en-US" w:eastAsia="zh-CN"/>
              </w:rPr>
              <w:t>1</w:t>
            </w:r>
            <w:r>
              <w:rPr>
                <w:rFonts w:hint="eastAsia" w:ascii="仿宋" w:hAnsi="仿宋" w:eastAsia="仿宋" w:cs="仿宋"/>
                <w:color w:val="000000" w:themeColor="text1"/>
                <w:spacing w:val="-10"/>
                <w:sz w:val="24"/>
                <w:szCs w:val="24"/>
              </w:rPr>
              <w:t>年</w:t>
            </w:r>
            <w:r>
              <w:rPr>
                <w:rFonts w:hint="eastAsia" w:ascii="仿宋" w:hAnsi="仿宋" w:eastAsia="仿宋" w:cs="仿宋"/>
                <w:color w:val="000000" w:themeColor="text1"/>
                <w:spacing w:val="-10"/>
                <w:sz w:val="24"/>
                <w:szCs w:val="24"/>
                <w:lang w:val="en-US" w:eastAsia="zh-CN"/>
              </w:rPr>
              <w:t>底前建成的</w:t>
            </w:r>
            <w:r>
              <w:rPr>
                <w:rFonts w:hint="eastAsia" w:ascii="仿宋" w:hAnsi="仿宋" w:eastAsia="仿宋" w:cs="仿宋"/>
                <w:color w:val="000000" w:themeColor="text1"/>
                <w:spacing w:val="-10"/>
                <w:sz w:val="24"/>
                <w:szCs w:val="24"/>
              </w:rPr>
              <w:t>项目完成</w:t>
            </w:r>
            <w:r>
              <w:rPr>
                <w:rFonts w:hint="eastAsia" w:ascii="仿宋" w:hAnsi="仿宋" w:eastAsia="仿宋" w:cs="仿宋"/>
                <w:color w:val="000000" w:themeColor="text1"/>
                <w:spacing w:val="-10"/>
                <w:sz w:val="24"/>
                <w:szCs w:val="24"/>
                <w:lang w:val="en-US" w:eastAsia="zh-CN"/>
              </w:rPr>
              <w:t>子项总量</w:t>
            </w:r>
            <w:r>
              <w:rPr>
                <w:rFonts w:ascii="仿宋" w:hAnsi="仿宋" w:eastAsia="仿宋" w:cs="仿宋"/>
                <w:color w:val="000000" w:themeColor="text1"/>
                <w:spacing w:val="-10"/>
                <w:sz w:val="24"/>
                <w:szCs w:val="24"/>
              </w:rPr>
              <w:t>80%</w:t>
            </w:r>
            <w:r>
              <w:rPr>
                <w:rFonts w:hint="eastAsia" w:ascii="仿宋" w:hAnsi="仿宋" w:eastAsia="仿宋" w:cs="仿宋"/>
                <w:color w:val="000000" w:themeColor="text1"/>
                <w:spacing w:val="-10"/>
                <w:sz w:val="24"/>
                <w:szCs w:val="24"/>
              </w:rPr>
              <w:t>移交</w:t>
            </w:r>
            <w:r>
              <w:rPr>
                <w:rFonts w:hint="eastAsia" w:ascii="仿宋" w:hAnsi="仿宋" w:eastAsia="仿宋" w:cs="仿宋"/>
                <w:color w:val="000000" w:themeColor="text1"/>
                <w:spacing w:val="-10"/>
                <w:sz w:val="24"/>
                <w:szCs w:val="24"/>
                <w:lang w:val="en-US" w:eastAsia="zh-CN"/>
              </w:rPr>
              <w:t>工作；已移交满一年的项目完成质量回访手续。</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6</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根据《杭州市城镇污水处理系统提质增效工作方案》、《杭州市城镇污水处理提质增效三年行动方案（2019-2021）》要求，做好相关工作。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7</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根据《杭州市绿色建筑专项规划》（杭建科〔2017〕179号）、《2022年杭州市装配式建筑工作要点》（杭建工业办〔2022〕1号）等文件要求，做好装配式建筑（建筑工业化）推进工作。</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8</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kern w:val="2"/>
                <w:sz w:val="24"/>
                <w:szCs w:val="24"/>
                <w:highlight w:val="none"/>
                <w:lang w:val="en-US" w:eastAsia="zh-CN" w:bidi="ar-SA"/>
              </w:rPr>
              <w:t>根据《杭州市人民政府办公厅关于印发2022年省政府十方面民生实事杭州市责任分解的通知》、省治堵办《2022年治理城市交通拥堵工作任务书（征求意见稿）》、《2022年度杭州市治理城市交通拥堵工作专项目标考评方案》、《2022年杭州市停车场（库）建设任务书》等文件要求，开展新增停车泊位建设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Times New Roman"/>
                <w:color w:val="000000" w:themeColor="text1"/>
                <w:spacing w:val="-20"/>
                <w:position w:val="6"/>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9</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Times New Roman"/>
                <w:color w:val="000000" w:themeColor="text1"/>
                <w:spacing w:val="-10"/>
                <w:kern w:val="2"/>
                <w:sz w:val="24"/>
                <w:szCs w:val="24"/>
                <w:lang w:val="en-US" w:eastAsia="zh-CN" w:bidi="ar-SA"/>
              </w:rPr>
              <w:t>根据国务院办公厅《新能源汽车产业发展规划（2021—2035年）》（国办发〔2020〕39号）、《浙江省充电基础设施发展“十四五”规划》（浙能源〔2021〕6号）、《省发展改革委省能源局关于下达2022年浙江省充换电基础设施建设发展计划的通知》（浙发改能源函〔2022〕218号）、《杭州市2022年度治理城市交通拥堵工作计划》等文件要求，推动亚运赛场、党政机关、公共机构、企事业单位和新能源货车、环卫车常驻地配套充电桩建设；推进小区共用充电桩建设，协调自用充电桩安装。积极推进所属相关停车场各类充电桩建设。</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auto"/>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10</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照《财政部办公厅、住房城乡建设部办公厅、水利部办公厅关于开展系统化全域推进海绵城市建设示范工作的通知》（财办建〔2021〕35号）等文件要求，新建项目在地块建设条件须知中应明确海绵相关指标，方案及初步设计文本应根据《杭州市建设项目海绵城市设计文件编制导则》（杭建设发〔2020〕116号）要求包含杭州建设项目海绵城市设计专篇内容，在施工许可阶段落实海绵内容图审，对审批的项目做好批后监管工作，重点监管有无落实批复要求，涉及海绵内容调整的要有相关论证和依据，在竣工验收阶段落实海绵内容按图验收，在管理养护阶段建立海绵设施日常管理制度；完成《2022年度系统化全域推进海绵城市建设示范城市绩效目标情况表》（详见杭建城〔2021〕177号）中涉及的数量指标、质量指标、经济效益指标、社会效益指标要求；完成系统化全域海绵城市建设实施方案编制；加强中央补助资金的监管，确保受补助的项目基本建设管理合法合规。</w:t>
            </w:r>
          </w:p>
        </w:tc>
        <w:tc>
          <w:tcPr>
            <w:tcW w:w="1417" w:type="dxa"/>
            <w:noWrap w:val="0"/>
            <w:vAlign w:val="center"/>
          </w:tcPr>
          <w:p>
            <w:pPr>
              <w:spacing w:line="240" w:lineRule="atLeast"/>
              <w:jc w:val="center"/>
              <w:rPr>
                <w:rFonts w:hint="eastAsia" w:ascii="仿宋" w:hAnsi="仿宋" w:eastAsia="仿宋" w:cs="Times New Roman"/>
                <w:color w:val="000000" w:themeColor="text1"/>
                <w:spacing w:val="-20"/>
                <w:kern w:val="2"/>
                <w:position w:val="6"/>
                <w:sz w:val="21"/>
                <w:szCs w:val="21"/>
                <w:lang w:val="en-US" w:eastAsia="zh-CN" w:bidi="ar-SA"/>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四</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规范工程管理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根据省、市相关要求，加强工程质量、安全、文明施工管理。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完善前期手续办理，新开工项目要求取得施工许可证后开工建设。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对于应实施装配式建造的建筑项目，在设计审批、许可证核发、现场监管等环节落实装配式建造的有关要求。</w:t>
            </w:r>
          </w:p>
        </w:tc>
        <w:tc>
          <w:tcPr>
            <w:tcW w:w="1417" w:type="dxa"/>
            <w:noWrap w:val="0"/>
            <w:vAlign w:val="center"/>
          </w:tcPr>
          <w:p>
            <w:pPr>
              <w:spacing w:line="320" w:lineRule="exact"/>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地下管线管廊项目竣工后，按照相关技术标准和规定，做好竣工测绘工作，编制汇交成果，并向市建委汇交数据。</w:t>
            </w:r>
          </w:p>
        </w:tc>
        <w:tc>
          <w:tcPr>
            <w:tcW w:w="1417" w:type="dxa"/>
            <w:noWrap w:val="0"/>
            <w:vAlign w:val="center"/>
          </w:tcPr>
          <w:p>
            <w:pPr>
              <w:spacing w:line="320" w:lineRule="exact"/>
              <w:jc w:val="center"/>
              <w:rPr>
                <w:rFonts w:hint="eastAsia" w:ascii="仿宋" w:hAnsi="仿宋" w:eastAsia="仿宋" w:cs="仿宋"/>
                <w:spacing w:val="-10"/>
                <w:sz w:val="24"/>
                <w:szCs w:val="24"/>
                <w:lang w:eastAsia="zh-CN"/>
              </w:rPr>
            </w:pPr>
            <w:r>
              <w:rPr>
                <w:rFonts w:hint="eastAsia" w:ascii="仿宋" w:hAnsi="仿宋" w:eastAsia="仿宋" w:cs="仿宋"/>
                <w:spacing w:val="-10"/>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五</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其他工作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落实中央巡视、第二轮中央环保督察、长江经济带等环保问题“举一反三”整改工作。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做好无障碍设施建设、整改及移交工作。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做好征地拆迁及相关信访维稳工作。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 xml:space="preserve">落实中央、省委、市委《关于开展扫黑除恶专项斗争》的决策部署。  </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六</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完成其他临时交办工作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bl>
    <w:p>
      <w:pPr>
        <w:jc w:val="center"/>
        <w:rPr>
          <w:rFonts w:ascii="黑体" w:hAnsi="黑体" w:eastAsia="黑体" w:cs="黑体"/>
          <w:color w:val="000000" w:themeColor="text1"/>
          <w:sz w:val="44"/>
          <w:szCs w:val="44"/>
        </w:rPr>
      </w:pPr>
    </w:p>
    <w:p>
      <w:pPr>
        <w:jc w:val="center"/>
        <w:rPr>
          <w:rFonts w:ascii="黑体" w:hAnsi="黑体" w:eastAsia="黑体" w:cs="黑体"/>
          <w:color w:val="000000" w:themeColor="text1"/>
          <w:sz w:val="44"/>
          <w:szCs w:val="44"/>
        </w:rPr>
      </w:pPr>
    </w:p>
    <w:p>
      <w:pPr>
        <w:jc w:val="center"/>
        <w:rPr>
          <w:rFonts w:ascii="黑体" w:hAnsi="黑体" w:eastAsia="黑体" w:cs="Times New Roman"/>
          <w:color w:val="000000" w:themeColor="text1"/>
          <w:sz w:val="44"/>
          <w:szCs w:val="44"/>
        </w:rPr>
      </w:pPr>
      <w:r>
        <w:rPr>
          <w:rFonts w:ascii="黑体" w:hAnsi="黑体" w:eastAsia="黑体" w:cs="黑体"/>
          <w:color w:val="000000" w:themeColor="text1"/>
          <w:sz w:val="44"/>
          <w:szCs w:val="44"/>
        </w:rPr>
        <w:t>202</w:t>
      </w:r>
      <w:r>
        <w:rPr>
          <w:rFonts w:hint="eastAsia" w:ascii="黑体" w:hAnsi="黑体" w:eastAsia="黑体" w:cs="黑体"/>
          <w:color w:val="000000" w:themeColor="text1"/>
          <w:sz w:val="44"/>
          <w:szCs w:val="44"/>
        </w:rPr>
        <w:t>2年萧山区重大基础设施建设任务</w:t>
      </w:r>
    </w:p>
    <w:p>
      <w:pPr>
        <w:jc w:val="center"/>
        <w:rPr>
          <w:rFonts w:ascii="黑体" w:hAnsi="黑体" w:eastAsia="黑体" w:cs="Times New Roman"/>
          <w:color w:val="000000" w:themeColor="text1"/>
          <w:sz w:val="44"/>
          <w:szCs w:val="44"/>
        </w:rPr>
      </w:pPr>
      <w:r>
        <w:rPr>
          <w:rFonts w:hint="eastAsia" w:ascii="黑体" w:hAnsi="黑体" w:eastAsia="黑体" w:cs="黑体"/>
          <w:color w:val="000000" w:themeColor="text1"/>
          <w:sz w:val="44"/>
          <w:szCs w:val="44"/>
        </w:rPr>
        <w:t>个性目标</w:t>
      </w:r>
    </w:p>
    <w:tbl>
      <w:tblPr>
        <w:tblStyle w:val="6"/>
        <w:tblW w:w="83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6113"/>
        <w:gridCol w:w="1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Times New Roman"/>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序号</w:t>
            </w:r>
          </w:p>
        </w:tc>
        <w:tc>
          <w:tcPr>
            <w:tcW w:w="6113" w:type="dxa"/>
            <w:vAlign w:val="center"/>
          </w:tcPr>
          <w:p>
            <w:pPr>
              <w:jc w:val="center"/>
              <w:rPr>
                <w:rFonts w:ascii="仿宋" w:hAnsi="仿宋" w:eastAsia="仿宋" w:cs="Times New Roman"/>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目标考核内容及指标</w:t>
            </w:r>
          </w:p>
        </w:tc>
        <w:tc>
          <w:tcPr>
            <w:tcW w:w="1278" w:type="dxa"/>
            <w:vAlign w:val="center"/>
          </w:tcPr>
          <w:p>
            <w:pPr>
              <w:jc w:val="center"/>
              <w:rPr>
                <w:rFonts w:ascii="仿宋" w:hAnsi="仿宋" w:eastAsia="仿宋" w:cs="Times New Roman"/>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lang w:val="en"/>
              </w:rPr>
              <w:t>一</w:t>
            </w:r>
          </w:p>
        </w:tc>
        <w:tc>
          <w:tcPr>
            <w:tcW w:w="6113"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城市道路及城镇污水处理设施建设</w:t>
            </w:r>
          </w:p>
        </w:tc>
        <w:tc>
          <w:tcPr>
            <w:tcW w:w="1278"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（一）</w:t>
            </w:r>
          </w:p>
        </w:tc>
        <w:tc>
          <w:tcPr>
            <w:tcW w:w="6113"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快速路建设</w:t>
            </w:r>
          </w:p>
        </w:tc>
        <w:tc>
          <w:tcPr>
            <w:tcW w:w="1278"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建成并开通：风情大道（机场路-金城路）改建工程，</w:t>
            </w:r>
            <w:r>
              <w:rPr>
                <w:rFonts w:ascii="仿宋" w:hAnsi="仿宋" w:eastAsia="仿宋" w:cs="仿宋"/>
                <w:spacing w:val="-10"/>
                <w:sz w:val="24"/>
                <w:szCs w:val="24"/>
              </w:rPr>
              <w:t>全年完成投资</w:t>
            </w:r>
            <w:r>
              <w:rPr>
                <w:rFonts w:hint="eastAsia" w:ascii="仿宋" w:hAnsi="仿宋" w:eastAsia="仿宋" w:cs="仿宋"/>
                <w:spacing w:val="-10"/>
                <w:sz w:val="24"/>
                <w:szCs w:val="24"/>
              </w:rPr>
              <w:t>3亿元</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建成并开通：通城大道（通彩互通-萧绍路）工程，</w:t>
            </w:r>
            <w:r>
              <w:rPr>
                <w:rFonts w:ascii="仿宋" w:hAnsi="仿宋" w:eastAsia="仿宋" w:cs="仿宋"/>
                <w:spacing w:val="-10"/>
                <w:sz w:val="24"/>
                <w:szCs w:val="24"/>
              </w:rPr>
              <w:t>全年完成投资</w:t>
            </w:r>
            <w:r>
              <w:rPr>
                <w:rFonts w:hint="eastAsia" w:ascii="仿宋" w:hAnsi="仿宋" w:eastAsia="仿宋" w:cs="仿宋"/>
                <w:spacing w:val="-10"/>
                <w:sz w:val="24"/>
                <w:szCs w:val="24"/>
              </w:rPr>
              <w:t>1亿元</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商聚路以北段；7月底。商聚路以南段：11月底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建成并开通：通城大道（机场高速-通彩互通）工程，</w:t>
            </w:r>
            <w:r>
              <w:rPr>
                <w:rFonts w:ascii="仿宋" w:hAnsi="仿宋" w:eastAsia="仿宋" w:cs="仿宋"/>
                <w:spacing w:val="-10"/>
                <w:sz w:val="24"/>
                <w:szCs w:val="24"/>
              </w:rPr>
              <w:t>全年完成投资</w:t>
            </w:r>
            <w:r>
              <w:rPr>
                <w:rFonts w:hint="eastAsia" w:ascii="仿宋" w:hAnsi="仿宋" w:eastAsia="仿宋" w:cs="仿宋"/>
                <w:spacing w:val="-10"/>
                <w:sz w:val="24"/>
                <w:szCs w:val="24"/>
              </w:rPr>
              <w:t>3亿元</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7月底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建成并开通：风情大道（金城路-湘湖路）改建工程，全年完成</w:t>
            </w:r>
            <w:r>
              <w:rPr>
                <w:rFonts w:ascii="仿宋" w:hAnsi="仿宋" w:eastAsia="仿宋" w:cs="仿宋"/>
                <w:spacing w:val="-10"/>
                <w:sz w:val="24"/>
                <w:szCs w:val="24"/>
              </w:rPr>
              <w:t>投资</w:t>
            </w:r>
            <w:r>
              <w:rPr>
                <w:rFonts w:hint="eastAsia" w:ascii="仿宋" w:hAnsi="仿宋" w:eastAsia="仿宋" w:cs="仿宋"/>
                <w:spacing w:val="-10"/>
                <w:sz w:val="24"/>
                <w:szCs w:val="24"/>
              </w:rPr>
              <w:t>4.7亿元</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7月底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ascii="仿宋" w:hAnsi="仿宋" w:eastAsia="仿宋" w:cs="仿宋"/>
                <w:spacing w:val="-10"/>
                <w:sz w:val="24"/>
                <w:szCs w:val="24"/>
              </w:rPr>
              <w:t>5</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建成并开通：彩虹大道 （萧山区界-新城路）工程，</w:t>
            </w:r>
            <w:r>
              <w:rPr>
                <w:rFonts w:ascii="仿宋" w:hAnsi="仿宋" w:eastAsia="仿宋" w:cs="仿宋"/>
                <w:spacing w:val="-10"/>
                <w:sz w:val="24"/>
                <w:szCs w:val="24"/>
              </w:rPr>
              <w:t>全年完成投资</w:t>
            </w:r>
            <w:r>
              <w:rPr>
                <w:rFonts w:hint="eastAsia" w:ascii="仿宋" w:hAnsi="仿宋" w:eastAsia="仿宋" w:cs="仿宋"/>
                <w:spacing w:val="-10"/>
                <w:sz w:val="24"/>
                <w:szCs w:val="24"/>
              </w:rPr>
              <w:t>3亿元</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7月底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ascii="仿宋" w:hAnsi="仿宋" w:eastAsia="仿宋" w:cs="仿宋"/>
                <w:spacing w:val="-10"/>
                <w:sz w:val="24"/>
                <w:szCs w:val="24"/>
              </w:rPr>
              <w:t>6</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建成并开通：时代大道南延（绕城南线-中环）工程，</w:t>
            </w:r>
            <w:r>
              <w:rPr>
                <w:rFonts w:ascii="仿宋" w:hAnsi="仿宋" w:eastAsia="仿宋" w:cs="仿宋"/>
                <w:spacing w:val="-10"/>
                <w:sz w:val="24"/>
                <w:szCs w:val="24"/>
              </w:rPr>
              <w:t>全年完成投资</w:t>
            </w:r>
            <w:r>
              <w:rPr>
                <w:rFonts w:hint="eastAsia" w:ascii="仿宋" w:hAnsi="仿宋" w:eastAsia="仿宋" w:cs="仿宋"/>
                <w:spacing w:val="-10"/>
                <w:sz w:val="24"/>
                <w:szCs w:val="24"/>
              </w:rPr>
              <w:t>7.5亿元</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渔浦</w:t>
            </w:r>
            <w:r>
              <w:rPr>
                <w:rFonts w:ascii="仿宋" w:hAnsi="仿宋" w:eastAsia="仿宋" w:cs="仿宋"/>
                <w:spacing w:val="-10"/>
                <w:sz w:val="24"/>
                <w:szCs w:val="24"/>
              </w:rPr>
              <w:t>大桥以北</w:t>
            </w:r>
            <w:r>
              <w:rPr>
                <w:rFonts w:hint="eastAsia" w:ascii="仿宋" w:hAnsi="仿宋" w:eastAsia="仿宋" w:cs="仿宋"/>
                <w:spacing w:val="-10"/>
                <w:sz w:val="24"/>
                <w:szCs w:val="24"/>
              </w:rPr>
              <w:t>7月底;渔浦大桥以南9月底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ascii="仿宋" w:hAnsi="仿宋" w:eastAsia="仿宋" w:cs="仿宋"/>
                <w:spacing w:val="-10"/>
                <w:sz w:val="24"/>
                <w:szCs w:val="24"/>
              </w:rPr>
              <w:t>7</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续建：通城大道（萧绍路-晨晖路）工程完成10%，</w:t>
            </w:r>
            <w:r>
              <w:rPr>
                <w:rFonts w:ascii="仿宋" w:hAnsi="仿宋" w:eastAsia="仿宋" w:cs="仿宋"/>
                <w:spacing w:val="-10"/>
                <w:sz w:val="24"/>
                <w:szCs w:val="24"/>
              </w:rPr>
              <w:t>全年完成投资</w:t>
            </w:r>
            <w:r>
              <w:rPr>
                <w:rFonts w:hint="eastAsia" w:ascii="仿宋" w:hAnsi="仿宋" w:eastAsia="仿宋" w:cs="仿宋"/>
                <w:spacing w:val="-10"/>
                <w:sz w:val="24"/>
                <w:szCs w:val="24"/>
              </w:rPr>
              <w:t>1亿元</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ascii="仿宋" w:hAnsi="仿宋" w:eastAsia="仿宋" w:cs="仿宋"/>
                <w:spacing w:val="-10"/>
                <w:sz w:val="24"/>
                <w:szCs w:val="24"/>
              </w:rPr>
              <w:t>8</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开工：亚太路东伸(蜀山路-通城快速路互通段)</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ascii="仿宋" w:hAnsi="仿宋" w:eastAsia="仿宋" w:cs="仿宋"/>
                <w:spacing w:val="-10"/>
                <w:sz w:val="24"/>
                <w:szCs w:val="24"/>
              </w:rPr>
              <w:t>9</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前期：通城大道（晨晖路-03省道东复线）工程、彩虹快速路东延工程（绕城东线-中环）、风情大道（萧金路-绕城南线）工程</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（二）</w:t>
            </w:r>
          </w:p>
        </w:tc>
        <w:tc>
          <w:tcPr>
            <w:tcW w:w="6113" w:type="dxa"/>
            <w:vAlign w:val="center"/>
          </w:tcPr>
          <w:p>
            <w:pP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地铁重建道路建设</w:t>
            </w:r>
          </w:p>
        </w:tc>
        <w:tc>
          <w:tcPr>
            <w:tcW w:w="1278"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建成并开通：彩虹大道(新街大道-绕城东线)</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建成并开通：耕文路</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建成并开通：永盛路</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（三）</w:t>
            </w:r>
          </w:p>
        </w:tc>
        <w:tc>
          <w:tcPr>
            <w:tcW w:w="6113"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“断头路”三年行动计划</w:t>
            </w:r>
          </w:p>
        </w:tc>
        <w:tc>
          <w:tcPr>
            <w:tcW w:w="1278"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建成并开通：西兴路（彩虹大道-湘西路）、西河路（南秀路-晨晖路）</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开工：宏业路东伸（方千娄直湾—青六线）、崇化路（南秀路-蜀山路）</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（四）</w:t>
            </w:r>
          </w:p>
        </w:tc>
        <w:tc>
          <w:tcPr>
            <w:tcW w:w="6113"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主次干路</w:t>
            </w:r>
          </w:p>
        </w:tc>
        <w:tc>
          <w:tcPr>
            <w:tcW w:w="1278"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建成并开通：映翠路（西兴路—区界）、西河路南伸（南三路-03省道）、滨江二路（耕文路～香樟路）</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续建：通惠南路（南秀路-南三路）、博奥路南伸（湘西路-潘水路）</w:t>
            </w:r>
          </w:p>
        </w:tc>
        <w:tc>
          <w:tcPr>
            <w:tcW w:w="1278"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113" w:type="dxa"/>
            <w:vAlign w:val="center"/>
          </w:tcPr>
          <w:p>
            <w:pPr>
              <w:adjustRightInd w:val="0"/>
              <w:snapToGrid w:val="0"/>
              <w:rPr>
                <w:rFonts w:hint="eastAsia" w:ascii="仿宋" w:hAnsi="仿宋" w:eastAsia="仿宋" w:cs="仿宋"/>
                <w:spacing w:val="-10"/>
                <w:sz w:val="24"/>
                <w:szCs w:val="24"/>
                <w:lang w:eastAsia="zh-CN"/>
              </w:rPr>
            </w:pPr>
            <w:r>
              <w:rPr>
                <w:rFonts w:hint="eastAsia" w:ascii="仿宋" w:hAnsi="仿宋" w:eastAsia="仿宋" w:cs="仿宋"/>
                <w:spacing w:val="-10"/>
                <w:sz w:val="24"/>
                <w:szCs w:val="24"/>
              </w:rPr>
              <w:t>开工：永久路跨北塘河桥梁（建设一路-博学路）、建设二路（风情大道-博奥路）、池杉路（滨江一路-滨江二路）</w:t>
            </w:r>
            <w:r>
              <w:rPr>
                <w:rFonts w:hint="eastAsia" w:ascii="仿宋" w:hAnsi="仿宋" w:eastAsia="仿宋" w:cs="仿宋"/>
                <w:spacing w:val="-10"/>
                <w:sz w:val="24"/>
                <w:szCs w:val="24"/>
                <w:lang w:eastAsia="zh-CN"/>
              </w:rPr>
              <w:t>、黎明路拓宽改建工程、钱江二路（弘慧路－耕文路）</w:t>
            </w:r>
            <w:bookmarkStart w:id="0" w:name="_GoBack"/>
            <w:bookmarkEnd w:id="0"/>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（五）</w:t>
            </w:r>
          </w:p>
        </w:tc>
        <w:tc>
          <w:tcPr>
            <w:tcW w:w="6113" w:type="dxa"/>
            <w:vAlign w:val="center"/>
          </w:tcPr>
          <w:p>
            <w:pPr>
              <w:jc w:val="left"/>
              <w:rPr>
                <w:rFonts w:ascii="仿宋" w:hAnsi="仿宋" w:eastAsia="仿宋" w:cs="仿宋"/>
                <w:b/>
                <w:bCs/>
                <w:color w:val="000000" w:themeColor="text1"/>
                <w:spacing w:val="-10"/>
                <w:position w:val="6"/>
                <w:sz w:val="24"/>
                <w:szCs w:val="24"/>
              </w:rPr>
            </w:pPr>
            <w:r>
              <w:rPr>
                <w:rFonts w:hint="eastAsia" w:ascii="仿宋" w:hAnsi="仿宋" w:eastAsia="仿宋" w:cs="仿宋"/>
                <w:b/>
                <w:bCs/>
                <w:color w:val="000000" w:themeColor="text1"/>
                <w:spacing w:val="-10"/>
                <w:position w:val="6"/>
                <w:sz w:val="24"/>
                <w:szCs w:val="24"/>
              </w:rPr>
              <w:t>支路</w:t>
            </w:r>
          </w:p>
        </w:tc>
        <w:tc>
          <w:tcPr>
            <w:tcW w:w="1278"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建成并开通：开元森泊至眉山路连接线（朗庭酒店门口配套道路）（开元森泊—眉山路）、老虎洞村道路工程（公墓停车场—陈家埠一号工地）、支三路（知行路-支二路）</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Times New Roman"/>
                <w:b/>
                <w:bCs/>
                <w:color w:val="000000" w:themeColor="text1"/>
                <w:spacing w:val="-10"/>
                <w:sz w:val="24"/>
                <w:szCs w:val="24"/>
              </w:rPr>
            </w:pPr>
            <w:r>
              <w:rPr>
                <w:rFonts w:hint="eastAsia" w:ascii="仿宋" w:hAnsi="仿宋" w:eastAsia="仿宋" w:cs="Times New Roman"/>
                <w:b/>
                <w:bCs/>
                <w:color w:val="000000" w:themeColor="text1"/>
                <w:spacing w:val="-10"/>
                <w:sz w:val="24"/>
                <w:szCs w:val="24"/>
              </w:rPr>
              <w:t>（六）</w:t>
            </w:r>
          </w:p>
        </w:tc>
        <w:tc>
          <w:tcPr>
            <w:tcW w:w="6113" w:type="dxa"/>
            <w:vAlign w:val="center"/>
          </w:tcPr>
          <w:p>
            <w:pPr>
              <w:rPr>
                <w:rFonts w:ascii="仿宋" w:hAnsi="仿宋" w:eastAsia="仿宋" w:cs="Times New Roman"/>
                <w:b/>
                <w:bCs/>
                <w:color w:val="000000" w:themeColor="text1"/>
                <w:spacing w:val="-10"/>
                <w:sz w:val="24"/>
                <w:szCs w:val="24"/>
              </w:rPr>
            </w:pPr>
            <w:r>
              <w:rPr>
                <w:rFonts w:hint="eastAsia" w:ascii="仿宋" w:hAnsi="仿宋" w:eastAsia="仿宋" w:cs="仿宋"/>
                <w:b/>
                <w:bCs/>
                <w:color w:val="000000" w:themeColor="text1"/>
                <w:spacing w:val="-10"/>
                <w:sz w:val="24"/>
                <w:szCs w:val="24"/>
              </w:rPr>
              <w:t>城镇污水处理设施建设</w:t>
            </w:r>
          </w:p>
        </w:tc>
        <w:tc>
          <w:tcPr>
            <w:tcW w:w="1278"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完成钱江水处理厂一二三期（34万吨/日）清洁排放提标改造</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完成污水管网建设共4公里</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bCs/>
                <w:color w:val="000000" w:themeColor="text1"/>
                <w:spacing w:val="-10"/>
                <w:sz w:val="24"/>
                <w:szCs w:val="24"/>
              </w:rPr>
            </w:pPr>
            <w:r>
              <w:rPr>
                <w:rFonts w:hint="eastAsia" w:ascii="仿宋" w:hAnsi="仿宋" w:eastAsia="仿宋" w:cs="仿宋"/>
                <w:b/>
                <w:bCs/>
                <w:color w:val="000000" w:themeColor="text1"/>
                <w:spacing w:val="-10"/>
                <w:sz w:val="24"/>
                <w:szCs w:val="24"/>
              </w:rPr>
              <w:t>二</w:t>
            </w:r>
          </w:p>
        </w:tc>
        <w:tc>
          <w:tcPr>
            <w:tcW w:w="6113" w:type="dxa"/>
            <w:vAlign w:val="center"/>
          </w:tcPr>
          <w:p>
            <w:pPr>
              <w:jc w:val="left"/>
              <w:rPr>
                <w:rFonts w:ascii="仿宋" w:hAnsi="仿宋" w:eastAsia="仿宋" w:cs="仿宋"/>
                <w:bCs/>
                <w:color w:val="000000" w:themeColor="text1"/>
                <w:spacing w:val="-10"/>
                <w:sz w:val="24"/>
                <w:szCs w:val="24"/>
              </w:rPr>
            </w:pPr>
            <w:r>
              <w:rPr>
                <w:rFonts w:hint="eastAsia" w:ascii="仿宋" w:hAnsi="仿宋" w:eastAsia="仿宋" w:cs="仿宋"/>
                <w:b/>
                <w:bCs/>
                <w:color w:val="000000" w:themeColor="text1"/>
                <w:spacing w:val="-10"/>
                <w:sz w:val="24"/>
                <w:szCs w:val="24"/>
              </w:rPr>
              <w:t>雨水管网建设</w:t>
            </w:r>
          </w:p>
        </w:tc>
        <w:tc>
          <w:tcPr>
            <w:tcW w:w="1278" w:type="dxa"/>
            <w:vAlign w:val="center"/>
          </w:tcPr>
          <w:p>
            <w:pPr>
              <w:spacing w:line="240" w:lineRule="atLeast"/>
              <w:jc w:val="center"/>
              <w:rPr>
                <w:rFonts w:ascii="仿宋" w:hAnsi="仿宋" w:eastAsia="仿宋" w:cs="Times New Roman"/>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完成雨水管网建设共6公里</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jc w:val="center"/>
              <w:rPr>
                <w:rFonts w:ascii="仿宋" w:hAnsi="仿宋" w:eastAsia="仿宋" w:cs="仿宋"/>
                <w:bCs/>
                <w:color w:val="000000" w:themeColor="text1"/>
                <w:spacing w:val="-10"/>
                <w:sz w:val="24"/>
                <w:szCs w:val="24"/>
              </w:rPr>
            </w:pPr>
            <w:r>
              <w:rPr>
                <w:rFonts w:hint="eastAsia" w:ascii="仿宋" w:hAnsi="仿宋" w:eastAsia="仿宋" w:cs="仿宋"/>
                <w:b/>
                <w:bCs/>
                <w:color w:val="000000" w:themeColor="text1"/>
                <w:spacing w:val="-10"/>
                <w:sz w:val="24"/>
                <w:szCs w:val="24"/>
              </w:rPr>
              <w:t>三</w:t>
            </w:r>
          </w:p>
        </w:tc>
        <w:tc>
          <w:tcPr>
            <w:tcW w:w="6113" w:type="dxa"/>
            <w:vAlign w:val="center"/>
          </w:tcPr>
          <w:p>
            <w:pPr>
              <w:jc w:val="left"/>
              <w:rPr>
                <w:rFonts w:ascii="仿宋" w:hAnsi="仿宋" w:eastAsia="仿宋" w:cs="仿宋"/>
                <w:color w:val="000000" w:themeColor="text1"/>
                <w:spacing w:val="-10"/>
                <w:sz w:val="24"/>
                <w:szCs w:val="24"/>
              </w:rPr>
            </w:pPr>
            <w:r>
              <w:rPr>
                <w:rFonts w:hint="eastAsia" w:ascii="仿宋" w:hAnsi="仿宋" w:eastAsia="仿宋" w:cs="仿宋"/>
                <w:b/>
                <w:bCs/>
                <w:color w:val="000000" w:themeColor="text1"/>
                <w:spacing w:val="-10"/>
                <w:sz w:val="24"/>
                <w:szCs w:val="24"/>
              </w:rPr>
              <w:t>河道建设</w:t>
            </w:r>
          </w:p>
        </w:tc>
        <w:tc>
          <w:tcPr>
            <w:tcW w:w="1278"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前期项目</w:t>
            </w:r>
          </w:p>
        </w:tc>
        <w:tc>
          <w:tcPr>
            <w:tcW w:w="1278"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杭柴直河</w:t>
            </w:r>
            <w:r>
              <w:rPr>
                <w:rFonts w:hint="eastAsia" w:ascii="仿宋" w:hAnsi="仿宋" w:eastAsia="仿宋" w:cs="仿宋"/>
                <w:spacing w:val="-10"/>
                <w:sz w:val="24"/>
                <w:szCs w:val="24"/>
              </w:rPr>
              <w:tab/>
            </w:r>
            <w:r>
              <w:rPr>
                <w:rFonts w:hint="eastAsia" w:ascii="仿宋" w:hAnsi="仿宋" w:eastAsia="仿宋" w:cs="仿宋"/>
                <w:spacing w:val="-10"/>
                <w:sz w:val="24"/>
                <w:szCs w:val="24"/>
              </w:rPr>
              <w:t>（官河—里自横河）</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杜湖内河（风情大道—官河</w:t>
            </w:r>
            <w:r>
              <w:rPr>
                <w:rFonts w:hint="eastAsia" w:ascii="仿宋" w:hAnsi="仿宋" w:eastAsia="仿宋" w:cs="仿宋"/>
                <w:spacing w:val="-10"/>
                <w:sz w:val="24"/>
                <w:szCs w:val="24"/>
              </w:rPr>
              <w:tab/>
            </w:r>
            <w:r>
              <w:rPr>
                <w:rFonts w:hint="eastAsia" w:ascii="仿宋" w:hAnsi="仿宋" w:eastAsia="仿宋" w:cs="仿宋"/>
                <w:spacing w:val="-10"/>
                <w:sz w:val="24"/>
                <w:szCs w:val="24"/>
              </w:rPr>
              <w:t>）</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完工项目</w:t>
            </w:r>
          </w:p>
        </w:tc>
        <w:tc>
          <w:tcPr>
            <w:tcW w:w="1278"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南门江沿线东侧（晨晖路—后山河）</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吕才庄河三期（一期-向旭路）</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五堡直河（前解放河—五堡闸）</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bCs/>
                <w:color w:val="000000" w:themeColor="text1"/>
                <w:spacing w:val="-10"/>
                <w:sz w:val="24"/>
                <w:szCs w:val="24"/>
              </w:rPr>
            </w:pPr>
            <w:r>
              <w:rPr>
                <w:rFonts w:hint="eastAsia" w:ascii="仿宋" w:hAnsi="仿宋" w:eastAsia="仿宋" w:cs="仿宋"/>
                <w:b/>
                <w:bCs/>
                <w:color w:val="000000" w:themeColor="text1"/>
                <w:spacing w:val="-10"/>
                <w:sz w:val="24"/>
                <w:szCs w:val="24"/>
              </w:rPr>
              <w:t>四</w:t>
            </w:r>
          </w:p>
        </w:tc>
        <w:tc>
          <w:tcPr>
            <w:tcW w:w="6113" w:type="dxa"/>
            <w:vAlign w:val="center"/>
          </w:tcPr>
          <w:p>
            <w:pPr>
              <w:jc w:val="left"/>
              <w:rPr>
                <w:rFonts w:ascii="仿宋" w:hAnsi="仿宋" w:eastAsia="仿宋" w:cs="仿宋"/>
                <w:bCs/>
                <w:color w:val="000000" w:themeColor="text1"/>
                <w:spacing w:val="-10"/>
                <w:sz w:val="24"/>
                <w:szCs w:val="24"/>
              </w:rPr>
            </w:pPr>
            <w:r>
              <w:rPr>
                <w:rFonts w:ascii="宋体" w:hAnsi="宋体"/>
                <w:b/>
                <w:bCs/>
                <w:sz w:val="24"/>
                <w:szCs w:val="22"/>
              </w:rPr>
              <w:t>海绵城市建设</w:t>
            </w:r>
          </w:p>
        </w:tc>
        <w:tc>
          <w:tcPr>
            <w:tcW w:w="1278" w:type="dxa"/>
            <w:vAlign w:val="center"/>
          </w:tcPr>
          <w:p>
            <w:pPr>
              <w:spacing w:line="240" w:lineRule="atLeast"/>
              <w:jc w:val="center"/>
              <w:rPr>
                <w:rFonts w:ascii="仿宋" w:hAnsi="仿宋" w:eastAsia="仿宋" w:cs="仿宋"/>
                <w:bCs/>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当年5.68平方公里（建成区面积5%），累计42.07平方公里区域（建成区面积37%）达到海绵城市建设要求，重点打造具有较高海绵显示度的系统化重点建设区域；至少建成一个达标排水分区，区域内项目类型不少于三种（住宅、公共建筑、市政道路、城市水系、城市广场公园绿地等），并至少包括住宅、公共建筑、市政道路三种类型中的两种。</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在全区范围内创建萧山经济技术开发区益农区块改造安置房、湘湖公学、奥体核心区景观工程项目等15个以上海绵示范项目，重点关注央补项目的海绵设计方案及工程实施；至少打造1个海绵设施与中央隔离带、机非隔离带或道侧绿化相结合的示范性道路项目。</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完成杭州市系统化全域推进海绵城市建设项目清单（2021-2023年）中涉及的2022年项目。</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bCs/>
                <w:color w:val="000000" w:themeColor="text1"/>
                <w:spacing w:val="-10"/>
                <w:sz w:val="24"/>
                <w:szCs w:val="24"/>
              </w:rPr>
            </w:pPr>
            <w:r>
              <w:rPr>
                <w:rFonts w:hint="eastAsia" w:ascii="仿宋" w:hAnsi="仿宋" w:eastAsia="仿宋" w:cs="仿宋"/>
                <w:b/>
                <w:bCs/>
                <w:color w:val="000000" w:themeColor="text1"/>
                <w:spacing w:val="-10"/>
                <w:sz w:val="24"/>
                <w:szCs w:val="24"/>
              </w:rPr>
              <w:t>五</w:t>
            </w:r>
          </w:p>
        </w:tc>
        <w:tc>
          <w:tcPr>
            <w:tcW w:w="6113" w:type="dxa"/>
            <w:vAlign w:val="center"/>
          </w:tcPr>
          <w:p>
            <w:pPr>
              <w:jc w:val="left"/>
              <w:rPr>
                <w:rFonts w:ascii="仿宋" w:hAnsi="仿宋" w:eastAsia="仿宋" w:cs="仿宋"/>
                <w:bCs/>
                <w:color w:val="000000" w:themeColor="text1"/>
                <w:spacing w:val="-10"/>
                <w:sz w:val="24"/>
                <w:szCs w:val="24"/>
              </w:rPr>
            </w:pPr>
            <w:r>
              <w:rPr>
                <w:rFonts w:ascii="宋体" w:hAnsi="宋体"/>
                <w:b/>
                <w:bCs/>
                <w:sz w:val="24"/>
                <w:szCs w:val="22"/>
              </w:rPr>
              <w:t>地下空间</w:t>
            </w:r>
            <w:r>
              <w:rPr>
                <w:rFonts w:hint="eastAsia" w:ascii="宋体" w:hAnsi="宋体"/>
                <w:b/>
                <w:bCs/>
                <w:sz w:val="24"/>
                <w:szCs w:val="22"/>
              </w:rPr>
              <w:t>开发利用</w:t>
            </w:r>
          </w:p>
        </w:tc>
        <w:tc>
          <w:tcPr>
            <w:tcW w:w="1278" w:type="dxa"/>
            <w:vAlign w:val="center"/>
          </w:tcPr>
          <w:p>
            <w:pPr>
              <w:jc w:val="center"/>
              <w:rPr>
                <w:rFonts w:ascii="仿宋" w:hAnsi="仿宋" w:eastAsia="仿宋" w:cs="仿宋"/>
                <w:bCs/>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地下空间建设新增量（完工）70万平方米。</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前期项目</w:t>
            </w:r>
          </w:p>
        </w:tc>
        <w:tc>
          <w:tcPr>
            <w:tcW w:w="1278"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杭州铁路南站中心区圈层地下一体化统筹开发：开展前期研究。</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萧山科技城圈层地下一体化统筹开发：开展前期研究。</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（三）</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开工项目</w:t>
            </w:r>
          </w:p>
        </w:tc>
        <w:tc>
          <w:tcPr>
            <w:tcW w:w="1278"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（钱江世纪城——世纪城核心区）SKP项目（萧政储出[2021]33号地块二期）：开工。</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（四）</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278"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（钱江世纪城——奥体博览城片区）杭州国际博览中心二期：完成地下结构30%。</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城市文化公园：完成地下室结构5%。</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瓜沥多彩社区：完成主体结构30%。</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浙大二院新院区（公建项目与地铁互联互通，下穿道路与医院停车库连通）：一期完成地下室结构30%；二期开工。</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（五）</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完工项目</w:t>
            </w:r>
          </w:p>
        </w:tc>
        <w:tc>
          <w:tcPr>
            <w:tcW w:w="1278"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（钱江世纪城——奥体博览城片区）绿地·城市之门：完成竣工备案。</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bCs/>
                <w:color w:val="000000" w:themeColor="text1"/>
                <w:spacing w:val="-10"/>
                <w:sz w:val="24"/>
                <w:szCs w:val="24"/>
              </w:rPr>
            </w:pPr>
            <w:r>
              <w:rPr>
                <w:rFonts w:hint="eastAsia" w:ascii="仿宋" w:hAnsi="仿宋" w:eastAsia="仿宋" w:cs="仿宋"/>
                <w:b/>
                <w:bCs/>
                <w:color w:val="000000" w:themeColor="text1"/>
                <w:spacing w:val="-10"/>
                <w:sz w:val="24"/>
                <w:szCs w:val="24"/>
              </w:rPr>
              <w:t>六</w:t>
            </w:r>
          </w:p>
        </w:tc>
        <w:tc>
          <w:tcPr>
            <w:tcW w:w="6113" w:type="dxa"/>
            <w:vAlign w:val="center"/>
          </w:tcPr>
          <w:p>
            <w:pPr>
              <w:jc w:val="left"/>
              <w:rPr>
                <w:rFonts w:ascii="仿宋" w:hAnsi="仿宋" w:eastAsia="仿宋" w:cs="仿宋"/>
                <w:bCs/>
                <w:color w:val="000000" w:themeColor="text1"/>
                <w:spacing w:val="-10"/>
                <w:sz w:val="24"/>
                <w:szCs w:val="24"/>
              </w:rPr>
            </w:pPr>
            <w:r>
              <w:rPr>
                <w:rFonts w:ascii="宋体" w:hAnsi="宋体"/>
                <w:b/>
                <w:bCs/>
                <w:sz w:val="24"/>
                <w:szCs w:val="22"/>
              </w:rPr>
              <w:t>地下综合管廊建设</w:t>
            </w:r>
          </w:p>
        </w:tc>
        <w:tc>
          <w:tcPr>
            <w:tcW w:w="1278" w:type="dxa"/>
            <w:vAlign w:val="center"/>
          </w:tcPr>
          <w:p>
            <w:pPr>
              <w:jc w:val="center"/>
              <w:rPr>
                <w:rFonts w:ascii="仿宋" w:hAnsi="仿宋" w:eastAsia="仿宋" w:cs="仿宋"/>
                <w:bCs/>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地下综合管廊运维</w:t>
            </w:r>
          </w:p>
        </w:tc>
        <w:tc>
          <w:tcPr>
            <w:tcW w:w="1278"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管廊项目投运前需确定运营管理单位、日常维护单位，并报相关城管部门介入监督管理。</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管廊项目投运前需完成运行维护细则、编制应急预案、明确责任分工等制度的制定。</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管廊项目投运前需与入廊管线单位签订入廊及安全等协议。</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具体建设项目</w:t>
            </w:r>
          </w:p>
        </w:tc>
        <w:tc>
          <w:tcPr>
            <w:tcW w:w="1278"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平澜路工程：完成管廊项目验收、备案，办理行业监管介入手续，并投运。</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奔竞大道工程：完成管廊项目验收、备案，办理行业监管介入手续，并投运。</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环路工程：完成管廊项目验收、备案，办理行业监管介入手续，并投运。</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丰北路工程：完成管廊项目验收、备案，办理行业监管介入手续，并投运。</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飞虹路工程：完成管廊项目验收、备案，办理行业监管介入手续，并投运。</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民祥路工程：完成管廊项目验收、备案，办理行业监管介入手续，并投运。</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7</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观澜路工程：完成管廊项目验收、备案，办理行业监管介入手续，并投运。</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8</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滨江二路综合管廊工程：完成管廊项目验收、备案，办理行业监管介入手续，并投运。</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996" w:type="dxa"/>
            <w:vAlign w:val="center"/>
          </w:tcPr>
          <w:p>
            <w:pPr>
              <w:adjustRightInd w:val="0"/>
              <w:snapToGrid w:val="0"/>
              <w:jc w:val="center"/>
              <w:rPr>
                <w:rFonts w:hint="eastAsia" w:ascii="仿宋" w:hAnsi="仿宋" w:eastAsia="仿宋" w:cs="仿宋"/>
                <w:b w:val="0"/>
                <w:bCs w:val="0"/>
                <w:color w:val="auto"/>
                <w:spacing w:val="-10"/>
                <w:kern w:val="2"/>
                <w:sz w:val="24"/>
                <w:szCs w:val="24"/>
                <w:lang w:val="en-US" w:eastAsia="zh-CN" w:bidi="ar-SA"/>
              </w:rPr>
            </w:pPr>
            <w:r>
              <w:rPr>
                <w:rFonts w:hint="eastAsia" w:ascii="仿宋" w:hAnsi="仿宋" w:eastAsia="仿宋" w:cs="仿宋"/>
                <w:b w:val="0"/>
                <w:bCs w:val="0"/>
                <w:color w:val="auto"/>
                <w:spacing w:val="-10"/>
                <w:sz w:val="24"/>
                <w:szCs w:val="24"/>
                <w:lang w:eastAsia="zh-CN"/>
              </w:rPr>
              <w:t>（三）</w:t>
            </w:r>
          </w:p>
        </w:tc>
        <w:tc>
          <w:tcPr>
            <w:tcW w:w="6113" w:type="dxa"/>
            <w:vAlign w:val="center"/>
          </w:tcPr>
          <w:p>
            <w:pPr>
              <w:jc w:val="left"/>
              <w:rPr>
                <w:rFonts w:hint="eastAsia" w:ascii="仿宋" w:hAnsi="仿宋" w:eastAsia="仿宋" w:cs="仿宋"/>
                <w:b w:val="0"/>
                <w:bCs w:val="0"/>
                <w:color w:val="auto"/>
                <w:kern w:val="2"/>
                <w:sz w:val="24"/>
                <w:szCs w:val="22"/>
                <w:lang w:val="en-US" w:eastAsia="zh-CN" w:bidi="ar-SA"/>
              </w:rPr>
            </w:pPr>
            <w:r>
              <w:rPr>
                <w:rFonts w:hint="eastAsia" w:ascii="仿宋" w:hAnsi="仿宋" w:eastAsia="仿宋" w:cs="仿宋"/>
                <w:b w:val="0"/>
                <w:bCs w:val="0"/>
                <w:color w:val="auto"/>
                <w:sz w:val="24"/>
                <w:szCs w:val="22"/>
                <w:lang w:eastAsia="zh-CN"/>
              </w:rPr>
              <w:t>前期项目</w:t>
            </w:r>
          </w:p>
        </w:tc>
        <w:tc>
          <w:tcPr>
            <w:tcW w:w="1278" w:type="dxa"/>
            <w:vAlign w:val="center"/>
          </w:tcPr>
          <w:p>
            <w:pPr>
              <w:jc w:val="center"/>
              <w:rPr>
                <w:rFonts w:hint="eastAsia" w:ascii="仿宋" w:hAnsi="仿宋" w:eastAsia="仿宋" w:cs="仿宋"/>
                <w:bCs/>
                <w:color w:val="auto"/>
                <w:spacing w:val="-1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996" w:type="dxa"/>
            <w:vAlign w:val="center"/>
          </w:tcPr>
          <w:p>
            <w:pPr>
              <w:adjustRightInd w:val="0"/>
              <w:snapToGrid w:val="0"/>
              <w:jc w:val="center"/>
              <w:rPr>
                <w:rFonts w:hint="eastAsia" w:ascii="仿宋" w:hAnsi="仿宋" w:eastAsia="仿宋" w:cs="仿宋"/>
                <w:b w:val="0"/>
                <w:bCs w:val="0"/>
                <w:color w:val="auto"/>
                <w:spacing w:val="-10"/>
                <w:kern w:val="2"/>
                <w:sz w:val="24"/>
                <w:szCs w:val="24"/>
                <w:lang w:val="en-US" w:eastAsia="zh-CN" w:bidi="ar-SA"/>
              </w:rPr>
            </w:pPr>
            <w:r>
              <w:rPr>
                <w:rFonts w:hint="eastAsia" w:ascii="仿宋" w:hAnsi="仿宋" w:eastAsia="仿宋" w:cs="仿宋"/>
                <w:b w:val="0"/>
                <w:bCs w:val="0"/>
                <w:color w:val="auto"/>
                <w:spacing w:val="-10"/>
                <w:sz w:val="24"/>
                <w:szCs w:val="24"/>
                <w:lang w:val="en-US" w:eastAsia="zh-CN"/>
              </w:rPr>
              <w:t>1</w:t>
            </w:r>
          </w:p>
        </w:tc>
        <w:tc>
          <w:tcPr>
            <w:tcW w:w="6113" w:type="dxa"/>
            <w:vAlign w:val="center"/>
          </w:tcPr>
          <w:p>
            <w:pPr>
              <w:jc w:val="left"/>
              <w:rPr>
                <w:rFonts w:hint="eastAsia" w:ascii="仿宋" w:hAnsi="仿宋" w:eastAsia="仿宋" w:cs="仿宋"/>
                <w:b w:val="0"/>
                <w:bCs w:val="0"/>
                <w:color w:val="auto"/>
                <w:kern w:val="2"/>
                <w:sz w:val="24"/>
                <w:szCs w:val="22"/>
                <w:lang w:val="en-US" w:eastAsia="zh-CN" w:bidi="ar-SA"/>
              </w:rPr>
            </w:pPr>
            <w:r>
              <w:rPr>
                <w:rFonts w:hint="eastAsia" w:ascii="仿宋" w:hAnsi="仿宋" w:eastAsia="仿宋" w:cs="仿宋"/>
                <w:b w:val="0"/>
                <w:bCs w:val="0"/>
                <w:color w:val="auto"/>
                <w:sz w:val="24"/>
                <w:szCs w:val="22"/>
                <w:lang w:eastAsia="zh-CN"/>
              </w:rPr>
              <w:t>萧山科技城核心区综合管廊建设前期研究</w:t>
            </w:r>
          </w:p>
        </w:tc>
        <w:tc>
          <w:tcPr>
            <w:tcW w:w="1278" w:type="dxa"/>
            <w:vAlign w:val="center"/>
          </w:tcPr>
          <w:p>
            <w:pPr>
              <w:jc w:val="center"/>
              <w:rPr>
                <w:rFonts w:hint="eastAsia" w:ascii="仿宋" w:hAnsi="仿宋" w:eastAsia="仿宋" w:cs="仿宋"/>
                <w:bCs/>
                <w:color w:val="auto"/>
                <w:spacing w:val="-10"/>
                <w:kern w:val="2"/>
                <w:sz w:val="24"/>
                <w:szCs w:val="24"/>
                <w:lang w:val="en-US" w:eastAsia="zh-CN" w:bidi="ar-SA"/>
              </w:rPr>
            </w:pPr>
            <w:r>
              <w:rPr>
                <w:rFonts w:hint="eastAsia" w:ascii="仿宋" w:hAnsi="仿宋" w:eastAsia="仿宋" w:cs="仿宋"/>
                <w:bCs/>
                <w:color w:val="auto"/>
                <w:spacing w:val="-10"/>
                <w:sz w:val="24"/>
                <w:szCs w:val="24"/>
                <w:lang w:val="en-US" w:eastAsia="zh-CN"/>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bCs/>
                <w:color w:val="000000" w:themeColor="text1"/>
                <w:spacing w:val="-10"/>
                <w:sz w:val="24"/>
                <w:szCs w:val="24"/>
              </w:rPr>
            </w:pPr>
            <w:r>
              <w:rPr>
                <w:rFonts w:hint="eastAsia" w:ascii="仿宋" w:hAnsi="仿宋" w:eastAsia="仿宋" w:cs="仿宋"/>
                <w:b/>
                <w:bCs/>
                <w:color w:val="000000" w:themeColor="text1"/>
                <w:spacing w:val="-10"/>
                <w:sz w:val="24"/>
                <w:szCs w:val="24"/>
              </w:rPr>
              <w:t>七</w:t>
            </w:r>
          </w:p>
        </w:tc>
        <w:tc>
          <w:tcPr>
            <w:tcW w:w="6113" w:type="dxa"/>
            <w:vAlign w:val="center"/>
          </w:tcPr>
          <w:p>
            <w:pPr>
              <w:jc w:val="left"/>
              <w:rPr>
                <w:rFonts w:ascii="仿宋" w:hAnsi="仿宋" w:eastAsia="仿宋" w:cs="仿宋"/>
                <w:bCs/>
                <w:color w:val="000000" w:themeColor="text1"/>
                <w:spacing w:val="-10"/>
                <w:sz w:val="24"/>
                <w:szCs w:val="24"/>
              </w:rPr>
            </w:pPr>
            <w:r>
              <w:rPr>
                <w:rFonts w:ascii="宋体" w:hAnsi="宋体"/>
                <w:b/>
                <w:bCs/>
                <w:sz w:val="24"/>
                <w:szCs w:val="22"/>
              </w:rPr>
              <w:t>输变电工程建设</w:t>
            </w:r>
          </w:p>
        </w:tc>
        <w:tc>
          <w:tcPr>
            <w:tcW w:w="1278" w:type="dxa"/>
            <w:vAlign w:val="center"/>
          </w:tcPr>
          <w:p>
            <w:pPr>
              <w:jc w:val="center"/>
              <w:rPr>
                <w:rFonts w:ascii="仿宋" w:hAnsi="仿宋" w:eastAsia="仿宋" w:cs="仿宋"/>
                <w:bCs/>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出具江南500千伏变电站220千伏送出工程路径意见。</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出具沥东220千伏输变电工程及对应110千伏送出工程站址路径意见。</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明确高科110千伏输变电工程站址开工时间。</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220千伏花木变电站土建6月底前开工建设。8月底前完成土地手续办理，根据项目进度情况及时支付补差款项。</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6月/8月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1月底前完成220千伏新益变站址土地交付，3月底前完成补差协议签署，并根据项目进度情况及时支付补差款项。</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1月/3月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新益220千伏变电站110千伏送出工程完成补差协议签署，并根据项目进度情况及时支付补差款项。</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7</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1月底前完成黄家110千伏输变电工程土地交付。5月底前完成工程线路路径民房拆迁。</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1月/5月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8</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5月底前完成万家110千伏输变电工程补差协议签署，并根据项目进度情况及时支付补差款项。10月底前完成站址土地交付。</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9</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完成益农110千伏输变电工程站址土地交付。</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10</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完成双圩110千伏输变电工程站址土地交付。</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完成光明110千伏输变电工程站址周边规划道路的建设。</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bCs/>
                <w:color w:val="000000" w:themeColor="text1"/>
                <w:spacing w:val="-10"/>
                <w:sz w:val="24"/>
                <w:szCs w:val="24"/>
              </w:rPr>
            </w:pPr>
            <w:r>
              <w:rPr>
                <w:rFonts w:hint="eastAsia" w:ascii="仿宋" w:hAnsi="仿宋" w:eastAsia="仿宋" w:cs="仿宋"/>
                <w:b/>
                <w:bCs/>
                <w:color w:val="000000" w:themeColor="text1"/>
                <w:spacing w:val="-10"/>
                <w:sz w:val="24"/>
                <w:szCs w:val="24"/>
              </w:rPr>
              <w:t>八</w:t>
            </w:r>
          </w:p>
        </w:tc>
        <w:tc>
          <w:tcPr>
            <w:tcW w:w="6113" w:type="dxa"/>
            <w:vAlign w:val="center"/>
          </w:tcPr>
          <w:p>
            <w:pPr>
              <w:jc w:val="left"/>
              <w:rPr>
                <w:rFonts w:ascii="仿宋" w:hAnsi="仿宋" w:eastAsia="仿宋" w:cs="仿宋"/>
                <w:bCs/>
                <w:color w:val="000000" w:themeColor="text1"/>
                <w:spacing w:val="-10"/>
                <w:sz w:val="24"/>
                <w:szCs w:val="24"/>
              </w:rPr>
            </w:pPr>
            <w:r>
              <w:rPr>
                <w:rFonts w:hint="eastAsia" w:ascii="宋体" w:hAnsi="宋体" w:cs="Times New Roman"/>
                <w:b/>
                <w:bCs/>
                <w:sz w:val="24"/>
                <w:szCs w:val="22"/>
              </w:rPr>
              <w:t>供水管网设施建设</w:t>
            </w:r>
          </w:p>
        </w:tc>
        <w:tc>
          <w:tcPr>
            <w:tcW w:w="1278" w:type="dxa"/>
            <w:vAlign w:val="center"/>
          </w:tcPr>
          <w:p>
            <w:pPr>
              <w:jc w:val="center"/>
              <w:rPr>
                <w:rFonts w:ascii="仿宋" w:hAnsi="仿宋" w:eastAsia="仿宋" w:cs="仿宋"/>
                <w:bCs/>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新建供水管网8公里；</w:t>
            </w:r>
          </w:p>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改造供水管网5公里；</w:t>
            </w:r>
          </w:p>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新增供水能力完工30万吨/日；</w:t>
            </w:r>
          </w:p>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改造供水能力完工30万吨/日。</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bCs/>
                <w:color w:val="000000" w:themeColor="text1"/>
                <w:spacing w:val="-10"/>
                <w:sz w:val="24"/>
                <w:szCs w:val="24"/>
              </w:rPr>
            </w:pPr>
            <w:r>
              <w:rPr>
                <w:rFonts w:hint="eastAsia" w:ascii="仿宋" w:hAnsi="仿宋" w:eastAsia="仿宋" w:cs="仿宋"/>
                <w:b/>
                <w:bCs/>
                <w:color w:val="000000" w:themeColor="text1"/>
                <w:spacing w:val="-10"/>
                <w:sz w:val="24"/>
                <w:szCs w:val="24"/>
              </w:rPr>
              <w:t>九</w:t>
            </w:r>
          </w:p>
        </w:tc>
        <w:tc>
          <w:tcPr>
            <w:tcW w:w="6113" w:type="dxa"/>
            <w:vAlign w:val="center"/>
          </w:tcPr>
          <w:p>
            <w:pPr>
              <w:jc w:val="left"/>
              <w:rPr>
                <w:rFonts w:ascii="仿宋" w:hAnsi="仿宋" w:eastAsia="仿宋" w:cs="仿宋"/>
                <w:bCs/>
                <w:color w:val="000000" w:themeColor="text1"/>
                <w:spacing w:val="-10"/>
                <w:sz w:val="24"/>
                <w:szCs w:val="24"/>
              </w:rPr>
            </w:pPr>
            <w:r>
              <w:rPr>
                <w:rFonts w:hint="eastAsia" w:ascii="宋体" w:hAnsi="宋体" w:cs="Times New Roman"/>
                <w:b/>
                <w:bCs/>
                <w:sz w:val="24"/>
                <w:szCs w:val="22"/>
              </w:rPr>
              <w:t>停车场库及新能源汽车充电设施建设</w:t>
            </w:r>
          </w:p>
        </w:tc>
        <w:tc>
          <w:tcPr>
            <w:tcW w:w="1278" w:type="dxa"/>
            <w:vAlign w:val="center"/>
          </w:tcPr>
          <w:p>
            <w:pPr>
              <w:jc w:val="center"/>
              <w:rPr>
                <w:rFonts w:ascii="仿宋" w:hAnsi="仿宋" w:eastAsia="仿宋" w:cs="仿宋"/>
                <w:bCs/>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按照省民生实事工作标准和考核节点要求，完成新增停车泊位</w:t>
            </w:r>
            <w:r>
              <w:rPr>
                <w:rFonts w:hint="eastAsia" w:ascii="仿宋" w:hAnsi="仿宋" w:eastAsia="仿宋" w:cs="仿宋"/>
                <w:spacing w:val="-10"/>
                <w:sz w:val="24"/>
                <w:szCs w:val="24"/>
                <w:lang w:val="en-US" w:eastAsia="zh-CN"/>
              </w:rPr>
              <w:t>6470</w:t>
            </w:r>
            <w:r>
              <w:rPr>
                <w:rFonts w:hint="eastAsia" w:ascii="仿宋" w:hAnsi="仿宋" w:eastAsia="仿宋" w:cs="仿宋"/>
                <w:spacing w:val="-10"/>
                <w:sz w:val="24"/>
                <w:szCs w:val="24"/>
              </w:rPr>
              <w:t>个，省民生标准公共泊位</w:t>
            </w:r>
            <w:r>
              <w:rPr>
                <w:rFonts w:hint="eastAsia" w:ascii="仿宋" w:hAnsi="仿宋" w:eastAsia="仿宋" w:cs="仿宋"/>
                <w:spacing w:val="-10"/>
                <w:sz w:val="24"/>
                <w:szCs w:val="24"/>
                <w:lang w:val="en-US" w:eastAsia="zh-CN"/>
              </w:rPr>
              <w:t>1000</w:t>
            </w:r>
            <w:r>
              <w:rPr>
                <w:rFonts w:hint="eastAsia" w:ascii="仿宋" w:hAnsi="仿宋" w:eastAsia="仿宋" w:cs="仿宋"/>
                <w:spacing w:val="-10"/>
                <w:sz w:val="24"/>
                <w:szCs w:val="24"/>
              </w:rPr>
              <w:t>个。年度累计新增停车泊位</w:t>
            </w:r>
            <w:r>
              <w:rPr>
                <w:rFonts w:hint="eastAsia" w:ascii="仿宋" w:hAnsi="仿宋" w:eastAsia="仿宋" w:cs="仿宋"/>
                <w:spacing w:val="-10"/>
                <w:sz w:val="24"/>
                <w:szCs w:val="24"/>
                <w:lang w:val="en-US" w:eastAsia="zh-CN"/>
              </w:rPr>
              <w:t>8000</w:t>
            </w:r>
            <w:r>
              <w:rPr>
                <w:rFonts w:hint="eastAsia" w:ascii="仿宋" w:hAnsi="仿宋" w:eastAsia="仿宋" w:cs="仿宋"/>
                <w:spacing w:val="-10"/>
                <w:sz w:val="24"/>
                <w:szCs w:val="24"/>
              </w:rPr>
              <w:t>个，其中公共泊位（非临时）</w:t>
            </w:r>
            <w:r>
              <w:rPr>
                <w:rFonts w:hint="eastAsia" w:ascii="仿宋" w:hAnsi="仿宋" w:eastAsia="仿宋" w:cs="仿宋"/>
                <w:spacing w:val="-10"/>
                <w:sz w:val="24"/>
                <w:szCs w:val="24"/>
                <w:lang w:val="en-US" w:eastAsia="zh-CN"/>
              </w:rPr>
              <w:t>1000</w:t>
            </w:r>
            <w:r>
              <w:rPr>
                <w:rFonts w:hint="eastAsia" w:ascii="仿宋" w:hAnsi="仿宋" w:eastAsia="仿宋" w:cs="仿宋"/>
                <w:spacing w:val="-10"/>
                <w:sz w:val="24"/>
                <w:szCs w:val="24"/>
              </w:rPr>
              <w:t>个。6月底前完成年度各类停车位竣工量原则不低于25%,11月底前完成省民生实事计划建设项目，其他项目完工原则不低于90%。新开工及续建公共停车泊位不少于</w:t>
            </w:r>
            <w:r>
              <w:rPr>
                <w:rFonts w:hint="eastAsia" w:ascii="仿宋" w:hAnsi="仿宋" w:eastAsia="仿宋" w:cs="仿宋"/>
                <w:spacing w:val="-10"/>
                <w:sz w:val="24"/>
                <w:szCs w:val="24"/>
                <w:lang w:val="en-US" w:eastAsia="zh-CN"/>
              </w:rPr>
              <w:t>1800</w:t>
            </w:r>
            <w:r>
              <w:rPr>
                <w:rFonts w:hint="eastAsia" w:ascii="仿宋" w:hAnsi="仿宋" w:eastAsia="仿宋" w:cs="仿宋"/>
                <w:spacing w:val="-10"/>
                <w:sz w:val="24"/>
                <w:szCs w:val="24"/>
              </w:rPr>
              <w:t>个。</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2</w:t>
            </w:r>
          </w:p>
        </w:tc>
        <w:tc>
          <w:tcPr>
            <w:tcW w:w="6113" w:type="dxa"/>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做好2023年公共停车场民生项目储备，年底前完成金惠小学地下公共停车库竣工准备</w:t>
            </w:r>
            <w:r>
              <w:rPr>
                <w:rFonts w:hint="eastAsia" w:ascii="仿宋" w:hAnsi="仿宋" w:eastAsia="仿宋" w:cs="仿宋"/>
                <w:spacing w:val="-10"/>
                <w:sz w:val="24"/>
                <w:szCs w:val="24"/>
                <w:lang w:eastAsia="zh-CN"/>
              </w:rPr>
              <w:t>。</w:t>
            </w:r>
          </w:p>
        </w:tc>
        <w:tc>
          <w:tcPr>
            <w:tcW w:w="1278" w:type="dxa"/>
            <w:vAlign w:val="center"/>
          </w:tcPr>
          <w:p>
            <w:pPr>
              <w:adjustRightInd w:val="0"/>
              <w:snapToGrid w:val="0"/>
              <w:jc w:val="center"/>
              <w:rPr>
                <w:rFonts w:hint="eastAsia"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eastAsia="zh-CN"/>
              </w:rPr>
            </w:pPr>
            <w:r>
              <w:rPr>
                <w:rFonts w:hint="eastAsia" w:ascii="仿宋" w:hAnsi="仿宋" w:eastAsia="仿宋" w:cs="仿宋"/>
                <w:spacing w:val="-10"/>
                <w:sz w:val="24"/>
                <w:szCs w:val="24"/>
                <w:lang w:val="en-US" w:eastAsia="zh-CN"/>
              </w:rPr>
              <w:t>3</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完成新能源汽车公用充电桩不少于</w:t>
            </w:r>
            <w:r>
              <w:rPr>
                <w:rFonts w:hint="eastAsia" w:ascii="仿宋" w:hAnsi="仿宋" w:eastAsia="仿宋" w:cs="仿宋"/>
                <w:spacing w:val="-10"/>
                <w:sz w:val="24"/>
                <w:szCs w:val="24"/>
                <w:lang w:val="en-US" w:eastAsia="zh-CN"/>
              </w:rPr>
              <w:t>300</w:t>
            </w:r>
            <w:r>
              <w:rPr>
                <w:rFonts w:hint="eastAsia" w:ascii="仿宋" w:hAnsi="仿宋" w:eastAsia="仿宋" w:cs="仿宋"/>
                <w:spacing w:val="-10"/>
                <w:sz w:val="24"/>
                <w:szCs w:val="24"/>
              </w:rPr>
              <w:t>个。</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996" w:type="dxa"/>
            <w:vAlign w:val="center"/>
          </w:tcPr>
          <w:p>
            <w:pPr>
              <w:adjustRightInd w:val="0"/>
              <w:snapToGrid w:val="0"/>
              <w:jc w:val="center"/>
              <w:rPr>
                <w:rFonts w:ascii="仿宋" w:hAnsi="仿宋" w:eastAsia="仿宋" w:cs="仿宋"/>
                <w:bCs/>
                <w:color w:val="000000" w:themeColor="text1"/>
                <w:spacing w:val="-10"/>
                <w:sz w:val="24"/>
                <w:szCs w:val="24"/>
              </w:rPr>
            </w:pPr>
            <w:r>
              <w:rPr>
                <w:rFonts w:hint="eastAsia" w:ascii="仿宋" w:hAnsi="仿宋" w:eastAsia="仿宋" w:cs="仿宋"/>
                <w:b/>
                <w:bCs/>
                <w:color w:val="000000" w:themeColor="text1"/>
                <w:spacing w:val="-10"/>
                <w:sz w:val="24"/>
                <w:szCs w:val="24"/>
              </w:rPr>
              <w:t>十</w:t>
            </w:r>
          </w:p>
        </w:tc>
        <w:tc>
          <w:tcPr>
            <w:tcW w:w="6113" w:type="dxa"/>
            <w:vAlign w:val="center"/>
          </w:tcPr>
          <w:p>
            <w:pPr>
              <w:jc w:val="left"/>
              <w:rPr>
                <w:rFonts w:ascii="仿宋" w:hAnsi="仿宋" w:eastAsia="仿宋" w:cs="仿宋"/>
                <w:bCs/>
                <w:color w:val="000000" w:themeColor="text1"/>
                <w:spacing w:val="-10"/>
                <w:sz w:val="24"/>
                <w:szCs w:val="24"/>
              </w:rPr>
            </w:pPr>
            <w:r>
              <w:rPr>
                <w:rFonts w:ascii="宋体" w:hAnsi="宋体"/>
                <w:b/>
                <w:bCs/>
                <w:sz w:val="24"/>
                <w:szCs w:val="22"/>
              </w:rPr>
              <w:t>绿色建筑及建筑节能</w:t>
            </w:r>
          </w:p>
        </w:tc>
        <w:tc>
          <w:tcPr>
            <w:tcW w:w="1278" w:type="dxa"/>
            <w:vAlign w:val="center"/>
          </w:tcPr>
          <w:p>
            <w:pPr>
              <w:jc w:val="center"/>
              <w:rPr>
                <w:rFonts w:ascii="仿宋" w:hAnsi="仿宋" w:eastAsia="仿宋" w:cs="仿宋"/>
                <w:bCs/>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完成公共建筑节能改造4万平方米，居住建筑节能绿色化改造2万平方米；完成可再生能源建筑应用55万平方米；实施（含完成）建筑太阳能光伏装机容量22.5兆瓦</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辖区单位争创省级绿色施工示范项目不少于2个；完成高星级绿色建筑示范项目立项不少于2个；完成超低能耗建筑示范立项不少于3万平方米；完成高替代率可再生能源建筑应用示范立项不少于9万平方米；完成既有公共建筑能效提升示范立项不少于22万平方米；开展绿色生态城区前期储备</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996" w:type="dxa"/>
            <w:vAlign w:val="center"/>
          </w:tcPr>
          <w:p>
            <w:pPr>
              <w:adjustRightInd w:val="0"/>
              <w:snapToGrid w:val="0"/>
              <w:jc w:val="center"/>
              <w:rPr>
                <w:rFonts w:ascii="仿宋" w:hAnsi="仿宋" w:eastAsia="仿宋" w:cs="仿宋"/>
                <w:bCs/>
                <w:color w:val="000000" w:themeColor="text1"/>
                <w:spacing w:val="-10"/>
                <w:sz w:val="24"/>
                <w:szCs w:val="24"/>
              </w:rPr>
            </w:pPr>
            <w:r>
              <w:rPr>
                <w:rFonts w:hint="eastAsia" w:ascii="仿宋" w:hAnsi="仿宋" w:eastAsia="仿宋" w:cs="仿宋"/>
                <w:b/>
                <w:bCs/>
                <w:color w:val="000000" w:themeColor="text1"/>
                <w:spacing w:val="-10"/>
                <w:sz w:val="24"/>
                <w:szCs w:val="24"/>
              </w:rPr>
              <w:t>十一</w:t>
            </w:r>
          </w:p>
        </w:tc>
        <w:tc>
          <w:tcPr>
            <w:tcW w:w="6113" w:type="dxa"/>
            <w:vAlign w:val="center"/>
          </w:tcPr>
          <w:p>
            <w:pPr>
              <w:jc w:val="left"/>
              <w:rPr>
                <w:rFonts w:ascii="仿宋" w:hAnsi="仿宋" w:eastAsia="仿宋" w:cs="仿宋"/>
                <w:bCs/>
                <w:color w:val="000000" w:themeColor="text1"/>
                <w:spacing w:val="-10"/>
                <w:sz w:val="24"/>
                <w:szCs w:val="24"/>
              </w:rPr>
            </w:pPr>
            <w:r>
              <w:rPr>
                <w:rFonts w:ascii="宋体" w:hAnsi="宋体"/>
                <w:b/>
                <w:bCs/>
                <w:sz w:val="24"/>
                <w:szCs w:val="22"/>
              </w:rPr>
              <w:t>装配式建筑（建筑工业化）</w:t>
            </w:r>
          </w:p>
        </w:tc>
        <w:tc>
          <w:tcPr>
            <w:tcW w:w="1278" w:type="dxa"/>
            <w:vAlign w:val="center"/>
          </w:tcPr>
          <w:p>
            <w:pPr>
              <w:jc w:val="center"/>
              <w:rPr>
                <w:rFonts w:ascii="仿宋" w:hAnsi="仿宋" w:eastAsia="仿宋" w:cs="仿宋"/>
                <w:bCs/>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全年新开工装配式建筑面积达到270万平方米以上。</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新开工装配式建筑占新建建筑比例达到30%。</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全年新开工装配式住宅面积达到115万平方米以上。</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全年新开工钢结构装配式住宅(含农房)达到10万平方米以上。</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996" w:type="dxa"/>
            <w:vAlign w:val="center"/>
          </w:tcPr>
          <w:p>
            <w:pPr>
              <w:adjustRightInd w:val="0"/>
              <w:snapToGrid w:val="0"/>
              <w:jc w:val="center"/>
              <w:rPr>
                <w:rFonts w:ascii="仿宋" w:hAnsi="仿宋" w:eastAsia="仿宋" w:cs="仿宋"/>
                <w:bCs/>
                <w:color w:val="000000" w:themeColor="text1"/>
                <w:spacing w:val="-10"/>
                <w:sz w:val="24"/>
                <w:szCs w:val="24"/>
              </w:rPr>
            </w:pPr>
            <w:r>
              <w:rPr>
                <w:rFonts w:hint="eastAsia" w:ascii="仿宋" w:hAnsi="仿宋" w:eastAsia="仿宋" w:cs="仿宋"/>
                <w:b/>
                <w:bCs/>
                <w:color w:val="000000" w:themeColor="text1"/>
                <w:spacing w:val="-10"/>
                <w:sz w:val="24"/>
                <w:szCs w:val="24"/>
              </w:rPr>
              <w:t>十二</w:t>
            </w:r>
          </w:p>
        </w:tc>
        <w:tc>
          <w:tcPr>
            <w:tcW w:w="6113" w:type="dxa"/>
            <w:vAlign w:val="center"/>
          </w:tcPr>
          <w:p>
            <w:pPr>
              <w:jc w:val="left"/>
              <w:rPr>
                <w:rFonts w:ascii="仿宋" w:hAnsi="仿宋" w:eastAsia="仿宋" w:cs="仿宋"/>
                <w:bCs/>
                <w:color w:val="000000" w:themeColor="text1"/>
                <w:spacing w:val="-10"/>
                <w:sz w:val="24"/>
                <w:szCs w:val="24"/>
              </w:rPr>
            </w:pPr>
            <w:r>
              <w:rPr>
                <w:rFonts w:hint="eastAsia" w:ascii="宋体" w:hAnsi="宋体" w:cs="Times New Roman"/>
                <w:b/>
                <w:bCs/>
                <w:sz w:val="24"/>
                <w:szCs w:val="22"/>
              </w:rPr>
              <w:t>千岛湖供水及配套工程</w:t>
            </w:r>
          </w:p>
        </w:tc>
        <w:tc>
          <w:tcPr>
            <w:tcW w:w="1278" w:type="dxa"/>
            <w:vAlign w:val="center"/>
          </w:tcPr>
          <w:p>
            <w:pPr>
              <w:jc w:val="center"/>
              <w:rPr>
                <w:rFonts w:ascii="仿宋" w:hAnsi="仿宋" w:eastAsia="仿宋" w:cs="仿宋"/>
                <w:bCs/>
                <w:color w:val="000000" w:themeColor="text1"/>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278"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6113"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江南线（闲林取水口下游江南方向输水隧洞末端-渔浦节点）平原段竣工，过江段完成</w:t>
            </w:r>
            <w:r>
              <w:rPr>
                <w:rFonts w:hint="eastAsia" w:ascii="仿宋" w:hAnsi="仿宋" w:eastAsia="仿宋" w:cs="仿宋"/>
                <w:spacing w:val="-10"/>
                <w:sz w:val="24"/>
                <w:szCs w:val="24"/>
                <w:lang w:val="en-US" w:eastAsia="zh-CN"/>
              </w:rPr>
              <w:t>75</w:t>
            </w:r>
            <w:r>
              <w:rPr>
                <w:rFonts w:hint="eastAsia" w:ascii="仿宋" w:hAnsi="仿宋" w:eastAsia="仿宋" w:cs="仿宋"/>
                <w:spacing w:val="-10"/>
                <w:sz w:val="24"/>
                <w:szCs w:val="24"/>
              </w:rPr>
              <w:t>%</w:t>
            </w:r>
          </w:p>
        </w:tc>
        <w:tc>
          <w:tcPr>
            <w:tcW w:w="1278"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bl>
    <w:p>
      <w:pPr>
        <w:rPr>
          <w:rFonts w:ascii="仿宋" w:hAnsi="仿宋" w:eastAsia="仿宋" w:cs="Times New Roman"/>
          <w:color w:val="000000" w:themeColor="text1"/>
          <w:spacing w:val="-20"/>
          <w:position w:val="6"/>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false"/>
  <w:bordersDoNotSurroundFooter w:val="false"/>
  <w:doNotTrackMoves/>
  <w:documentProtection w:enforcement="0"/>
  <w:defaultTabStop w:val="420"/>
  <w:doNotHyphenateCaps/>
  <w:drawingGridVerticalSpacing w:val="156"/>
  <w:displayHorizontalDrawingGridEvery w:val="1"/>
  <w:displayVerticalDrawingGridEvery w:val="1"/>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mVhZjRhN2VkNGUyNzllODlhYjIyMjdhODY4YTJhMmUifQ=="/>
  </w:docVars>
  <w:rsids>
    <w:rsidRoot w:val="00940E77"/>
    <w:rsid w:val="000070D3"/>
    <w:rsid w:val="00012DED"/>
    <w:rsid w:val="00016615"/>
    <w:rsid w:val="00024B23"/>
    <w:rsid w:val="00030F9C"/>
    <w:rsid w:val="0003277F"/>
    <w:rsid w:val="0003798B"/>
    <w:rsid w:val="00041551"/>
    <w:rsid w:val="0004368B"/>
    <w:rsid w:val="0004428A"/>
    <w:rsid w:val="00045C91"/>
    <w:rsid w:val="00046F29"/>
    <w:rsid w:val="00054280"/>
    <w:rsid w:val="00061357"/>
    <w:rsid w:val="00061587"/>
    <w:rsid w:val="00062B59"/>
    <w:rsid w:val="00064F2F"/>
    <w:rsid w:val="00064F3F"/>
    <w:rsid w:val="000721C2"/>
    <w:rsid w:val="00072D5D"/>
    <w:rsid w:val="0007481C"/>
    <w:rsid w:val="000765CE"/>
    <w:rsid w:val="000774D8"/>
    <w:rsid w:val="00085145"/>
    <w:rsid w:val="000860A7"/>
    <w:rsid w:val="00086595"/>
    <w:rsid w:val="00090B1D"/>
    <w:rsid w:val="00092A1F"/>
    <w:rsid w:val="000932EB"/>
    <w:rsid w:val="00097368"/>
    <w:rsid w:val="000A2B5A"/>
    <w:rsid w:val="000A7622"/>
    <w:rsid w:val="000A7E12"/>
    <w:rsid w:val="000B7116"/>
    <w:rsid w:val="000C2346"/>
    <w:rsid w:val="000C4E1B"/>
    <w:rsid w:val="000C6876"/>
    <w:rsid w:val="000D7706"/>
    <w:rsid w:val="000E00A0"/>
    <w:rsid w:val="000E30A3"/>
    <w:rsid w:val="000E43CF"/>
    <w:rsid w:val="000E485A"/>
    <w:rsid w:val="000F0EB6"/>
    <w:rsid w:val="001041E0"/>
    <w:rsid w:val="001042DE"/>
    <w:rsid w:val="00105987"/>
    <w:rsid w:val="001117B4"/>
    <w:rsid w:val="00112764"/>
    <w:rsid w:val="00114275"/>
    <w:rsid w:val="00126C22"/>
    <w:rsid w:val="0013153C"/>
    <w:rsid w:val="00132141"/>
    <w:rsid w:val="00146D10"/>
    <w:rsid w:val="00153DA9"/>
    <w:rsid w:val="00155AA6"/>
    <w:rsid w:val="00156CC4"/>
    <w:rsid w:val="001576CD"/>
    <w:rsid w:val="001611AB"/>
    <w:rsid w:val="001631C6"/>
    <w:rsid w:val="00170442"/>
    <w:rsid w:val="00180E75"/>
    <w:rsid w:val="00182134"/>
    <w:rsid w:val="001932ED"/>
    <w:rsid w:val="00193BA8"/>
    <w:rsid w:val="00196CB3"/>
    <w:rsid w:val="001A106A"/>
    <w:rsid w:val="001A2B31"/>
    <w:rsid w:val="001A67A9"/>
    <w:rsid w:val="001B0A56"/>
    <w:rsid w:val="001C40EF"/>
    <w:rsid w:val="001C7E4A"/>
    <w:rsid w:val="001E300B"/>
    <w:rsid w:val="001E7E2A"/>
    <w:rsid w:val="00201BC5"/>
    <w:rsid w:val="002202B0"/>
    <w:rsid w:val="00221B4A"/>
    <w:rsid w:val="00221C98"/>
    <w:rsid w:val="00225917"/>
    <w:rsid w:val="002264C0"/>
    <w:rsid w:val="002277CD"/>
    <w:rsid w:val="002324DE"/>
    <w:rsid w:val="00244849"/>
    <w:rsid w:val="00245104"/>
    <w:rsid w:val="00247642"/>
    <w:rsid w:val="00260D35"/>
    <w:rsid w:val="00262414"/>
    <w:rsid w:val="002624FB"/>
    <w:rsid w:val="002641E9"/>
    <w:rsid w:val="002702F7"/>
    <w:rsid w:val="00274948"/>
    <w:rsid w:val="002828AE"/>
    <w:rsid w:val="0028457F"/>
    <w:rsid w:val="00284B9F"/>
    <w:rsid w:val="00286756"/>
    <w:rsid w:val="0029238F"/>
    <w:rsid w:val="002A1AA2"/>
    <w:rsid w:val="002B37AB"/>
    <w:rsid w:val="002C0FDD"/>
    <w:rsid w:val="002C6356"/>
    <w:rsid w:val="002D0AAA"/>
    <w:rsid w:val="002D7205"/>
    <w:rsid w:val="002E070F"/>
    <w:rsid w:val="002E2A13"/>
    <w:rsid w:val="002E4B0B"/>
    <w:rsid w:val="002F04E2"/>
    <w:rsid w:val="002F2B84"/>
    <w:rsid w:val="002F34D8"/>
    <w:rsid w:val="00302460"/>
    <w:rsid w:val="00304536"/>
    <w:rsid w:val="00312A4A"/>
    <w:rsid w:val="00332B37"/>
    <w:rsid w:val="00337D00"/>
    <w:rsid w:val="003456B9"/>
    <w:rsid w:val="00352BB7"/>
    <w:rsid w:val="00353492"/>
    <w:rsid w:val="003562AB"/>
    <w:rsid w:val="00360F7C"/>
    <w:rsid w:val="0036199B"/>
    <w:rsid w:val="00363551"/>
    <w:rsid w:val="00363A58"/>
    <w:rsid w:val="00365BBB"/>
    <w:rsid w:val="00371B14"/>
    <w:rsid w:val="00372923"/>
    <w:rsid w:val="003765A5"/>
    <w:rsid w:val="003772FE"/>
    <w:rsid w:val="0038643A"/>
    <w:rsid w:val="0039738F"/>
    <w:rsid w:val="00397F63"/>
    <w:rsid w:val="003A23C7"/>
    <w:rsid w:val="003A39A0"/>
    <w:rsid w:val="003B005C"/>
    <w:rsid w:val="003B28C0"/>
    <w:rsid w:val="003B36B9"/>
    <w:rsid w:val="003B5F8E"/>
    <w:rsid w:val="003B66BE"/>
    <w:rsid w:val="003C0F86"/>
    <w:rsid w:val="003C1642"/>
    <w:rsid w:val="003C51EA"/>
    <w:rsid w:val="003C6BC9"/>
    <w:rsid w:val="003D142B"/>
    <w:rsid w:val="003D1942"/>
    <w:rsid w:val="003D1EBA"/>
    <w:rsid w:val="003D3CCF"/>
    <w:rsid w:val="003D5746"/>
    <w:rsid w:val="003E1994"/>
    <w:rsid w:val="003E3604"/>
    <w:rsid w:val="003F0DA9"/>
    <w:rsid w:val="003F165B"/>
    <w:rsid w:val="003F19FF"/>
    <w:rsid w:val="003F46E6"/>
    <w:rsid w:val="003F7081"/>
    <w:rsid w:val="004004AA"/>
    <w:rsid w:val="00417381"/>
    <w:rsid w:val="00424F12"/>
    <w:rsid w:val="00441D41"/>
    <w:rsid w:val="00443AE9"/>
    <w:rsid w:val="00450F35"/>
    <w:rsid w:val="004733C7"/>
    <w:rsid w:val="00481512"/>
    <w:rsid w:val="00481BBF"/>
    <w:rsid w:val="00482133"/>
    <w:rsid w:val="004837EF"/>
    <w:rsid w:val="004922D1"/>
    <w:rsid w:val="004930F9"/>
    <w:rsid w:val="00494BC9"/>
    <w:rsid w:val="00496E01"/>
    <w:rsid w:val="004A1E2A"/>
    <w:rsid w:val="004A44EE"/>
    <w:rsid w:val="004B0676"/>
    <w:rsid w:val="004B713C"/>
    <w:rsid w:val="004B7A78"/>
    <w:rsid w:val="004D1448"/>
    <w:rsid w:val="004D1F84"/>
    <w:rsid w:val="004D3E1F"/>
    <w:rsid w:val="004D441B"/>
    <w:rsid w:val="004E0DB7"/>
    <w:rsid w:val="004E1491"/>
    <w:rsid w:val="004E24E2"/>
    <w:rsid w:val="004F222F"/>
    <w:rsid w:val="004F2BD2"/>
    <w:rsid w:val="004F4A42"/>
    <w:rsid w:val="005024F4"/>
    <w:rsid w:val="0050294F"/>
    <w:rsid w:val="005061A1"/>
    <w:rsid w:val="00512EA2"/>
    <w:rsid w:val="00517BA9"/>
    <w:rsid w:val="005207EA"/>
    <w:rsid w:val="005234EC"/>
    <w:rsid w:val="00523F64"/>
    <w:rsid w:val="0053153D"/>
    <w:rsid w:val="005357E9"/>
    <w:rsid w:val="00535FD1"/>
    <w:rsid w:val="005401BD"/>
    <w:rsid w:val="005428CB"/>
    <w:rsid w:val="005519D1"/>
    <w:rsid w:val="005526B9"/>
    <w:rsid w:val="00555511"/>
    <w:rsid w:val="00560A9A"/>
    <w:rsid w:val="00570470"/>
    <w:rsid w:val="00572BFF"/>
    <w:rsid w:val="0057517C"/>
    <w:rsid w:val="00583B3C"/>
    <w:rsid w:val="00584456"/>
    <w:rsid w:val="005906BF"/>
    <w:rsid w:val="005968D4"/>
    <w:rsid w:val="00597870"/>
    <w:rsid w:val="005A2E4B"/>
    <w:rsid w:val="005A4D42"/>
    <w:rsid w:val="005C1E00"/>
    <w:rsid w:val="005C453A"/>
    <w:rsid w:val="005C76C2"/>
    <w:rsid w:val="005D4CA3"/>
    <w:rsid w:val="005E0436"/>
    <w:rsid w:val="005E10A2"/>
    <w:rsid w:val="005E3069"/>
    <w:rsid w:val="005E517B"/>
    <w:rsid w:val="005F7BB1"/>
    <w:rsid w:val="005F7F98"/>
    <w:rsid w:val="0063157C"/>
    <w:rsid w:val="006337D8"/>
    <w:rsid w:val="00637769"/>
    <w:rsid w:val="00637F0B"/>
    <w:rsid w:val="0064182C"/>
    <w:rsid w:val="00642059"/>
    <w:rsid w:val="006436FB"/>
    <w:rsid w:val="006446F2"/>
    <w:rsid w:val="006453D6"/>
    <w:rsid w:val="006459A1"/>
    <w:rsid w:val="0065011E"/>
    <w:rsid w:val="006556C6"/>
    <w:rsid w:val="006568DF"/>
    <w:rsid w:val="00661C68"/>
    <w:rsid w:val="0066307D"/>
    <w:rsid w:val="00665045"/>
    <w:rsid w:val="0067146E"/>
    <w:rsid w:val="00672C33"/>
    <w:rsid w:val="006749F2"/>
    <w:rsid w:val="00681580"/>
    <w:rsid w:val="0068379A"/>
    <w:rsid w:val="00683C0B"/>
    <w:rsid w:val="0068701F"/>
    <w:rsid w:val="006918D5"/>
    <w:rsid w:val="006928B1"/>
    <w:rsid w:val="00694648"/>
    <w:rsid w:val="00695F0F"/>
    <w:rsid w:val="00696739"/>
    <w:rsid w:val="006A010D"/>
    <w:rsid w:val="006A56CF"/>
    <w:rsid w:val="006B2200"/>
    <w:rsid w:val="006B227F"/>
    <w:rsid w:val="006B2720"/>
    <w:rsid w:val="006B463C"/>
    <w:rsid w:val="006C06FB"/>
    <w:rsid w:val="006C1BA9"/>
    <w:rsid w:val="006C2490"/>
    <w:rsid w:val="006C6DBF"/>
    <w:rsid w:val="006E3725"/>
    <w:rsid w:val="00705704"/>
    <w:rsid w:val="007058D5"/>
    <w:rsid w:val="00706DAC"/>
    <w:rsid w:val="0070720A"/>
    <w:rsid w:val="00710F8B"/>
    <w:rsid w:val="00714A63"/>
    <w:rsid w:val="007167D9"/>
    <w:rsid w:val="00722FAF"/>
    <w:rsid w:val="007230CC"/>
    <w:rsid w:val="007301A3"/>
    <w:rsid w:val="00730F85"/>
    <w:rsid w:val="00741726"/>
    <w:rsid w:val="0074318D"/>
    <w:rsid w:val="007567CC"/>
    <w:rsid w:val="00760352"/>
    <w:rsid w:val="007668DC"/>
    <w:rsid w:val="00771441"/>
    <w:rsid w:val="00772E9E"/>
    <w:rsid w:val="00773AAC"/>
    <w:rsid w:val="00780CE2"/>
    <w:rsid w:val="00784D4D"/>
    <w:rsid w:val="00792484"/>
    <w:rsid w:val="007A266D"/>
    <w:rsid w:val="007A6781"/>
    <w:rsid w:val="007A794F"/>
    <w:rsid w:val="007A7DE7"/>
    <w:rsid w:val="007B11C1"/>
    <w:rsid w:val="007B4EA7"/>
    <w:rsid w:val="007B586E"/>
    <w:rsid w:val="007C3091"/>
    <w:rsid w:val="007C3A87"/>
    <w:rsid w:val="007C6A1B"/>
    <w:rsid w:val="007D1A94"/>
    <w:rsid w:val="007E24AA"/>
    <w:rsid w:val="007E4E12"/>
    <w:rsid w:val="007F3808"/>
    <w:rsid w:val="00803489"/>
    <w:rsid w:val="0080496A"/>
    <w:rsid w:val="008072A4"/>
    <w:rsid w:val="0082077D"/>
    <w:rsid w:val="00835ACB"/>
    <w:rsid w:val="00840A1F"/>
    <w:rsid w:val="00845CA2"/>
    <w:rsid w:val="00856B2B"/>
    <w:rsid w:val="008576D6"/>
    <w:rsid w:val="0086315D"/>
    <w:rsid w:val="00867957"/>
    <w:rsid w:val="00867B10"/>
    <w:rsid w:val="00876A7F"/>
    <w:rsid w:val="008908B5"/>
    <w:rsid w:val="00891058"/>
    <w:rsid w:val="0089171D"/>
    <w:rsid w:val="00892A8F"/>
    <w:rsid w:val="008943C1"/>
    <w:rsid w:val="00897E0E"/>
    <w:rsid w:val="00897E44"/>
    <w:rsid w:val="008A34A5"/>
    <w:rsid w:val="008A4550"/>
    <w:rsid w:val="008B2ACF"/>
    <w:rsid w:val="008B3FEB"/>
    <w:rsid w:val="008B4270"/>
    <w:rsid w:val="008B5981"/>
    <w:rsid w:val="008B5C84"/>
    <w:rsid w:val="008B7BEE"/>
    <w:rsid w:val="008C19C9"/>
    <w:rsid w:val="008C2299"/>
    <w:rsid w:val="008D1AEF"/>
    <w:rsid w:val="008D61BE"/>
    <w:rsid w:val="008E1095"/>
    <w:rsid w:val="008F0399"/>
    <w:rsid w:val="008F065C"/>
    <w:rsid w:val="009022E7"/>
    <w:rsid w:val="00903DAB"/>
    <w:rsid w:val="00906214"/>
    <w:rsid w:val="009124D0"/>
    <w:rsid w:val="009154A9"/>
    <w:rsid w:val="009226FC"/>
    <w:rsid w:val="00922C65"/>
    <w:rsid w:val="00931949"/>
    <w:rsid w:val="00931A31"/>
    <w:rsid w:val="009336CA"/>
    <w:rsid w:val="009356C6"/>
    <w:rsid w:val="00936C5F"/>
    <w:rsid w:val="00940E77"/>
    <w:rsid w:val="0094522C"/>
    <w:rsid w:val="009469B3"/>
    <w:rsid w:val="00957441"/>
    <w:rsid w:val="00960179"/>
    <w:rsid w:val="009601F7"/>
    <w:rsid w:val="00962278"/>
    <w:rsid w:val="00966AE9"/>
    <w:rsid w:val="009719B3"/>
    <w:rsid w:val="009758EF"/>
    <w:rsid w:val="00980B8D"/>
    <w:rsid w:val="009836EF"/>
    <w:rsid w:val="00994072"/>
    <w:rsid w:val="009970D6"/>
    <w:rsid w:val="00997A97"/>
    <w:rsid w:val="009A215A"/>
    <w:rsid w:val="009A501D"/>
    <w:rsid w:val="009B08B4"/>
    <w:rsid w:val="009B4D1F"/>
    <w:rsid w:val="009C4D0D"/>
    <w:rsid w:val="009D1DAA"/>
    <w:rsid w:val="009D3BE6"/>
    <w:rsid w:val="009E5DE2"/>
    <w:rsid w:val="009F6E1F"/>
    <w:rsid w:val="00A014DA"/>
    <w:rsid w:val="00A01FE2"/>
    <w:rsid w:val="00A05A6E"/>
    <w:rsid w:val="00A176C7"/>
    <w:rsid w:val="00A236F3"/>
    <w:rsid w:val="00A25269"/>
    <w:rsid w:val="00A274A1"/>
    <w:rsid w:val="00A36EA8"/>
    <w:rsid w:val="00A4182D"/>
    <w:rsid w:val="00A42656"/>
    <w:rsid w:val="00A44A42"/>
    <w:rsid w:val="00A460F8"/>
    <w:rsid w:val="00A577C9"/>
    <w:rsid w:val="00A60435"/>
    <w:rsid w:val="00A60FE8"/>
    <w:rsid w:val="00A62FF6"/>
    <w:rsid w:val="00A678E8"/>
    <w:rsid w:val="00A8232D"/>
    <w:rsid w:val="00A83A0D"/>
    <w:rsid w:val="00A843EC"/>
    <w:rsid w:val="00A85DA4"/>
    <w:rsid w:val="00AA1DC7"/>
    <w:rsid w:val="00AA50C9"/>
    <w:rsid w:val="00AA57CF"/>
    <w:rsid w:val="00AB25A7"/>
    <w:rsid w:val="00AC32B9"/>
    <w:rsid w:val="00AC6026"/>
    <w:rsid w:val="00AC6C39"/>
    <w:rsid w:val="00AD0618"/>
    <w:rsid w:val="00AD4DDA"/>
    <w:rsid w:val="00AD507B"/>
    <w:rsid w:val="00AE7673"/>
    <w:rsid w:val="00AF2367"/>
    <w:rsid w:val="00AF586D"/>
    <w:rsid w:val="00B03779"/>
    <w:rsid w:val="00B050A3"/>
    <w:rsid w:val="00B138C5"/>
    <w:rsid w:val="00B17A20"/>
    <w:rsid w:val="00B21374"/>
    <w:rsid w:val="00B254EF"/>
    <w:rsid w:val="00B32098"/>
    <w:rsid w:val="00B3335A"/>
    <w:rsid w:val="00B42CFD"/>
    <w:rsid w:val="00B55114"/>
    <w:rsid w:val="00B61EA0"/>
    <w:rsid w:val="00B6640A"/>
    <w:rsid w:val="00B818F0"/>
    <w:rsid w:val="00B926F1"/>
    <w:rsid w:val="00B92D35"/>
    <w:rsid w:val="00B9636D"/>
    <w:rsid w:val="00B97A4F"/>
    <w:rsid w:val="00BA06D5"/>
    <w:rsid w:val="00BA0888"/>
    <w:rsid w:val="00BB09EA"/>
    <w:rsid w:val="00BB0D72"/>
    <w:rsid w:val="00BB327C"/>
    <w:rsid w:val="00BB3B03"/>
    <w:rsid w:val="00BB4601"/>
    <w:rsid w:val="00BB491F"/>
    <w:rsid w:val="00BB675F"/>
    <w:rsid w:val="00BB6E3D"/>
    <w:rsid w:val="00BC296F"/>
    <w:rsid w:val="00BC448C"/>
    <w:rsid w:val="00BC6FC3"/>
    <w:rsid w:val="00BC7231"/>
    <w:rsid w:val="00BD65C4"/>
    <w:rsid w:val="00BD6899"/>
    <w:rsid w:val="00BD7CF5"/>
    <w:rsid w:val="00BE1DE8"/>
    <w:rsid w:val="00BF38EC"/>
    <w:rsid w:val="00C02E7F"/>
    <w:rsid w:val="00C0707A"/>
    <w:rsid w:val="00C11592"/>
    <w:rsid w:val="00C13B93"/>
    <w:rsid w:val="00C17954"/>
    <w:rsid w:val="00C23785"/>
    <w:rsid w:val="00C24299"/>
    <w:rsid w:val="00C245B9"/>
    <w:rsid w:val="00C2750F"/>
    <w:rsid w:val="00C27671"/>
    <w:rsid w:val="00C27A3A"/>
    <w:rsid w:val="00C336C2"/>
    <w:rsid w:val="00C44B33"/>
    <w:rsid w:val="00C459D1"/>
    <w:rsid w:val="00C514E7"/>
    <w:rsid w:val="00C64F2A"/>
    <w:rsid w:val="00C66307"/>
    <w:rsid w:val="00C66869"/>
    <w:rsid w:val="00C71BCF"/>
    <w:rsid w:val="00C74CAD"/>
    <w:rsid w:val="00C7764D"/>
    <w:rsid w:val="00C8268B"/>
    <w:rsid w:val="00C8307C"/>
    <w:rsid w:val="00CA1556"/>
    <w:rsid w:val="00CA34ED"/>
    <w:rsid w:val="00CA3F44"/>
    <w:rsid w:val="00CA764E"/>
    <w:rsid w:val="00CB6C0D"/>
    <w:rsid w:val="00CB7930"/>
    <w:rsid w:val="00CC29DA"/>
    <w:rsid w:val="00CC3ED5"/>
    <w:rsid w:val="00CC58E5"/>
    <w:rsid w:val="00CC7F14"/>
    <w:rsid w:val="00CD38D2"/>
    <w:rsid w:val="00CD730F"/>
    <w:rsid w:val="00CE0603"/>
    <w:rsid w:val="00CE390B"/>
    <w:rsid w:val="00CE74E8"/>
    <w:rsid w:val="00CF7B98"/>
    <w:rsid w:val="00D0340C"/>
    <w:rsid w:val="00D03532"/>
    <w:rsid w:val="00D06F3B"/>
    <w:rsid w:val="00D15DCE"/>
    <w:rsid w:val="00D22033"/>
    <w:rsid w:val="00D230FD"/>
    <w:rsid w:val="00D24F0C"/>
    <w:rsid w:val="00D2769E"/>
    <w:rsid w:val="00D345A9"/>
    <w:rsid w:val="00D458BC"/>
    <w:rsid w:val="00D4646A"/>
    <w:rsid w:val="00D62DF7"/>
    <w:rsid w:val="00D678D1"/>
    <w:rsid w:val="00D67B5D"/>
    <w:rsid w:val="00D77A03"/>
    <w:rsid w:val="00D950E1"/>
    <w:rsid w:val="00D96888"/>
    <w:rsid w:val="00DA7141"/>
    <w:rsid w:val="00DA7224"/>
    <w:rsid w:val="00DB27FA"/>
    <w:rsid w:val="00DD1819"/>
    <w:rsid w:val="00DD2228"/>
    <w:rsid w:val="00DE07DB"/>
    <w:rsid w:val="00DE1DC4"/>
    <w:rsid w:val="00DE3D52"/>
    <w:rsid w:val="00DE5051"/>
    <w:rsid w:val="00DF14A7"/>
    <w:rsid w:val="00DF5246"/>
    <w:rsid w:val="00E03F1A"/>
    <w:rsid w:val="00E076DD"/>
    <w:rsid w:val="00E12D55"/>
    <w:rsid w:val="00E148E7"/>
    <w:rsid w:val="00E21BA8"/>
    <w:rsid w:val="00E268DB"/>
    <w:rsid w:val="00E27EAD"/>
    <w:rsid w:val="00E31637"/>
    <w:rsid w:val="00E3216D"/>
    <w:rsid w:val="00E33A72"/>
    <w:rsid w:val="00E357C3"/>
    <w:rsid w:val="00E368F4"/>
    <w:rsid w:val="00E3729A"/>
    <w:rsid w:val="00E41667"/>
    <w:rsid w:val="00E44A2A"/>
    <w:rsid w:val="00E50DDC"/>
    <w:rsid w:val="00E51B0F"/>
    <w:rsid w:val="00E52B36"/>
    <w:rsid w:val="00E52EEB"/>
    <w:rsid w:val="00E52F71"/>
    <w:rsid w:val="00E53EC8"/>
    <w:rsid w:val="00E5704A"/>
    <w:rsid w:val="00E57C61"/>
    <w:rsid w:val="00E60283"/>
    <w:rsid w:val="00E63C83"/>
    <w:rsid w:val="00E65C2B"/>
    <w:rsid w:val="00E6661A"/>
    <w:rsid w:val="00E71860"/>
    <w:rsid w:val="00E71D40"/>
    <w:rsid w:val="00E76C5E"/>
    <w:rsid w:val="00E77A5C"/>
    <w:rsid w:val="00E869CD"/>
    <w:rsid w:val="00E91B76"/>
    <w:rsid w:val="00E93C94"/>
    <w:rsid w:val="00E94829"/>
    <w:rsid w:val="00EA068D"/>
    <w:rsid w:val="00EA3C67"/>
    <w:rsid w:val="00EB107A"/>
    <w:rsid w:val="00EC3DA2"/>
    <w:rsid w:val="00EC4413"/>
    <w:rsid w:val="00ED1AD6"/>
    <w:rsid w:val="00EF3660"/>
    <w:rsid w:val="00EF49C5"/>
    <w:rsid w:val="00EF517A"/>
    <w:rsid w:val="00F0015E"/>
    <w:rsid w:val="00F06D25"/>
    <w:rsid w:val="00F12BE9"/>
    <w:rsid w:val="00F226CF"/>
    <w:rsid w:val="00F330A5"/>
    <w:rsid w:val="00F33AD0"/>
    <w:rsid w:val="00F41847"/>
    <w:rsid w:val="00F4521D"/>
    <w:rsid w:val="00F452F6"/>
    <w:rsid w:val="00F50E0C"/>
    <w:rsid w:val="00F51D5C"/>
    <w:rsid w:val="00F56B4D"/>
    <w:rsid w:val="00F57F7E"/>
    <w:rsid w:val="00F6265E"/>
    <w:rsid w:val="00F84E74"/>
    <w:rsid w:val="00F93683"/>
    <w:rsid w:val="00FA0B2C"/>
    <w:rsid w:val="00FA65E1"/>
    <w:rsid w:val="00FA7FD1"/>
    <w:rsid w:val="00FB704A"/>
    <w:rsid w:val="00FD0EAF"/>
    <w:rsid w:val="00FD37D1"/>
    <w:rsid w:val="00FD448D"/>
    <w:rsid w:val="00FD73AE"/>
    <w:rsid w:val="00FE16EC"/>
    <w:rsid w:val="00FE3999"/>
    <w:rsid w:val="00FF067B"/>
    <w:rsid w:val="00FF2324"/>
    <w:rsid w:val="00FF50F0"/>
    <w:rsid w:val="08212727"/>
    <w:rsid w:val="082425D6"/>
    <w:rsid w:val="0DCE0CC8"/>
    <w:rsid w:val="0EC17F14"/>
    <w:rsid w:val="1033615A"/>
    <w:rsid w:val="114B5320"/>
    <w:rsid w:val="158E41CF"/>
    <w:rsid w:val="15D24ACF"/>
    <w:rsid w:val="1B2817FB"/>
    <w:rsid w:val="1BA2733D"/>
    <w:rsid w:val="1C047B6B"/>
    <w:rsid w:val="1C3C3A55"/>
    <w:rsid w:val="1C710CDB"/>
    <w:rsid w:val="1CD75A11"/>
    <w:rsid w:val="1CE85BD7"/>
    <w:rsid w:val="1DA022A7"/>
    <w:rsid w:val="1EF20A23"/>
    <w:rsid w:val="208B7A55"/>
    <w:rsid w:val="20A235B1"/>
    <w:rsid w:val="21F47791"/>
    <w:rsid w:val="2302667C"/>
    <w:rsid w:val="298E28D3"/>
    <w:rsid w:val="29B9304D"/>
    <w:rsid w:val="2AE92252"/>
    <w:rsid w:val="2B223B5D"/>
    <w:rsid w:val="2DCD6548"/>
    <w:rsid w:val="2F176141"/>
    <w:rsid w:val="2F280BD3"/>
    <w:rsid w:val="2F2A762D"/>
    <w:rsid w:val="30881E5B"/>
    <w:rsid w:val="30AB6CF2"/>
    <w:rsid w:val="320F2E71"/>
    <w:rsid w:val="35707691"/>
    <w:rsid w:val="36C76544"/>
    <w:rsid w:val="3A2000D9"/>
    <w:rsid w:val="3B993EFF"/>
    <w:rsid w:val="3CE8111C"/>
    <w:rsid w:val="3DEA3484"/>
    <w:rsid w:val="3E4A0FD4"/>
    <w:rsid w:val="3E740EBA"/>
    <w:rsid w:val="3F6803D4"/>
    <w:rsid w:val="42723962"/>
    <w:rsid w:val="43B900C8"/>
    <w:rsid w:val="45A86D1F"/>
    <w:rsid w:val="462305CE"/>
    <w:rsid w:val="48836430"/>
    <w:rsid w:val="48A94A0A"/>
    <w:rsid w:val="48D11B49"/>
    <w:rsid w:val="4C713A66"/>
    <w:rsid w:val="4CEB4CE3"/>
    <w:rsid w:val="4E327446"/>
    <w:rsid w:val="4FF33F28"/>
    <w:rsid w:val="520F4B6B"/>
    <w:rsid w:val="53D222EC"/>
    <w:rsid w:val="58CC7859"/>
    <w:rsid w:val="5B2FD2AB"/>
    <w:rsid w:val="5C2D58E6"/>
    <w:rsid w:val="5C763E9F"/>
    <w:rsid w:val="5E0E058B"/>
    <w:rsid w:val="5F086F8D"/>
    <w:rsid w:val="5FFC2C4F"/>
    <w:rsid w:val="635620A3"/>
    <w:rsid w:val="640E238E"/>
    <w:rsid w:val="649FE513"/>
    <w:rsid w:val="64D27EE8"/>
    <w:rsid w:val="67F819D0"/>
    <w:rsid w:val="68545125"/>
    <w:rsid w:val="689C2C37"/>
    <w:rsid w:val="699F1418"/>
    <w:rsid w:val="69E4185B"/>
    <w:rsid w:val="6AB243D5"/>
    <w:rsid w:val="6D512242"/>
    <w:rsid w:val="6DF06F8B"/>
    <w:rsid w:val="6E86038D"/>
    <w:rsid w:val="6F6F02A3"/>
    <w:rsid w:val="6FF572B5"/>
    <w:rsid w:val="73C90DAC"/>
    <w:rsid w:val="73FF4A2D"/>
    <w:rsid w:val="775F82C2"/>
    <w:rsid w:val="79BC4EE7"/>
    <w:rsid w:val="79DE27C1"/>
    <w:rsid w:val="79FD595D"/>
    <w:rsid w:val="7ADF9018"/>
    <w:rsid w:val="7F6B37FF"/>
    <w:rsid w:val="7FAFADD5"/>
    <w:rsid w:val="7FBF4184"/>
    <w:rsid w:val="7FFED90D"/>
    <w:rsid w:val="8F4FE395"/>
    <w:rsid w:val="B8ED5D94"/>
    <w:rsid w:val="BDAD3E52"/>
    <w:rsid w:val="BFDC6248"/>
    <w:rsid w:val="C67E0B53"/>
    <w:rsid w:val="DBDCABE7"/>
    <w:rsid w:val="EC3D72A0"/>
    <w:rsid w:val="EFBF5F25"/>
    <w:rsid w:val="EFBFFF7F"/>
    <w:rsid w:val="F6F387BF"/>
    <w:rsid w:val="FAEF8307"/>
    <w:rsid w:val="FFAFFA34"/>
    <w:rsid w:val="FFFD8A0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rFonts w:cs="Times New Roman"/>
      <w:kern w:val="0"/>
      <w:sz w:val="18"/>
      <w:szCs w:val="20"/>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rFonts w:cs="Times New Roman"/>
      <w:kern w:val="0"/>
      <w:sz w:val="18"/>
      <w:szCs w:val="20"/>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 w:val="24"/>
      <w:szCs w:val="24"/>
    </w:rPr>
  </w:style>
  <w:style w:type="table" w:styleId="7">
    <w:name w:val="Table Grid"/>
    <w:basedOn w:val="6"/>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脚 字符"/>
    <w:link w:val="3"/>
    <w:qFormat/>
    <w:locked/>
    <w:uiPriority w:val="99"/>
    <w:rPr>
      <w:rFonts w:cs="Times New Roman"/>
      <w:sz w:val="18"/>
    </w:rPr>
  </w:style>
  <w:style w:type="character" w:customStyle="1" w:styleId="10">
    <w:name w:val="页眉 字符"/>
    <w:link w:val="4"/>
    <w:qFormat/>
    <w:locked/>
    <w:uiPriority w:val="99"/>
    <w:rPr>
      <w:rFonts w:cs="Times New Roman"/>
      <w:sz w:val="18"/>
    </w:rPr>
  </w:style>
  <w:style w:type="paragraph" w:customStyle="1" w:styleId="11">
    <w:name w:val="z-窗体顶端1"/>
    <w:basedOn w:val="1"/>
    <w:next w:val="1"/>
    <w:link w:val="12"/>
    <w:semiHidden/>
    <w:qFormat/>
    <w:uiPriority w:val="99"/>
    <w:pPr>
      <w:widowControl/>
      <w:pBdr>
        <w:bottom w:val="single" w:color="auto" w:sz="6" w:space="1"/>
      </w:pBdr>
      <w:jc w:val="center"/>
    </w:pPr>
    <w:rPr>
      <w:rFonts w:ascii="Arial" w:hAnsi="Arial" w:cs="Arial"/>
      <w:vanish/>
      <w:kern w:val="0"/>
      <w:sz w:val="16"/>
      <w:szCs w:val="16"/>
    </w:rPr>
  </w:style>
  <w:style w:type="character" w:customStyle="1" w:styleId="12">
    <w:name w:val="z-窗体顶端 Char"/>
    <w:link w:val="11"/>
    <w:semiHidden/>
    <w:qFormat/>
    <w:locked/>
    <w:uiPriority w:val="99"/>
    <w:rPr>
      <w:rFonts w:ascii="Arial" w:hAnsi="Arial" w:cs="Arial"/>
      <w:vanish/>
      <w:sz w:val="16"/>
      <w:szCs w:val="16"/>
    </w:rPr>
  </w:style>
  <w:style w:type="paragraph" w:customStyle="1" w:styleId="13">
    <w:name w:val="z-窗体底端1"/>
    <w:basedOn w:val="1"/>
    <w:next w:val="1"/>
    <w:link w:val="14"/>
    <w:semiHidden/>
    <w:qFormat/>
    <w:uiPriority w:val="99"/>
    <w:pPr>
      <w:widowControl/>
      <w:pBdr>
        <w:top w:val="single" w:color="auto" w:sz="6" w:space="1"/>
      </w:pBdr>
      <w:jc w:val="center"/>
    </w:pPr>
    <w:rPr>
      <w:rFonts w:ascii="Arial" w:hAnsi="Arial" w:cs="Arial"/>
      <w:vanish/>
      <w:kern w:val="0"/>
      <w:sz w:val="16"/>
      <w:szCs w:val="16"/>
    </w:rPr>
  </w:style>
  <w:style w:type="character" w:customStyle="1" w:styleId="14">
    <w:name w:val="z-窗体底端 Char"/>
    <w:link w:val="13"/>
    <w:semiHidden/>
    <w:qFormat/>
    <w:locked/>
    <w:uiPriority w:val="99"/>
    <w:rPr>
      <w:rFonts w:ascii="Arial" w:hAnsi="Arial" w:cs="Arial"/>
      <w:vanish/>
      <w:sz w:val="16"/>
      <w:szCs w:val="16"/>
    </w:rPr>
  </w:style>
  <w:style w:type="character" w:customStyle="1" w:styleId="15">
    <w:name w:val="批注框文本 字符"/>
    <w:link w:val="2"/>
    <w:semiHidden/>
    <w:qFormat/>
    <w:locked/>
    <w:uiPriority w:val="99"/>
    <w:rPr>
      <w:rFonts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846</Words>
  <Characters>4824</Characters>
  <Lines>40</Lines>
  <Paragraphs>11</Paragraphs>
  <TotalTime>0</TotalTime>
  <ScaleCrop>false</ScaleCrop>
  <LinksUpToDate>false</LinksUpToDate>
  <CharactersWithSpaces>5659</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2020-03-17T23:57:00Z</dcterms:created>
  <dc:creator>谢宁</dc:creator>
  <cp:lastModifiedBy>user</cp:lastModifiedBy>
  <cp:lastPrinted>2022-02-27T01:54:00Z</cp:lastPrinted>
  <dcterms:modified xsi:type="dcterms:W3CDTF">2022-07-22T16:29:42Z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504462F43E4E4BE798F89E13158A0B7A</vt:lpwstr>
  </property>
</Properties>
</file>